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285" w:rsidRPr="00BA7285" w:rsidRDefault="00BA7285" w:rsidP="00BA7285">
      <w:pPr>
        <w:pStyle w:val="FR1"/>
        <w:tabs>
          <w:tab w:val="left" w:pos="5420"/>
        </w:tabs>
        <w:spacing w:before="0"/>
        <w:ind w:left="0" w:right="0"/>
        <w:rPr>
          <w:sz w:val="32"/>
          <w:szCs w:val="32"/>
        </w:rPr>
      </w:pPr>
      <w:bookmarkStart w:id="0" w:name="_GoBack"/>
      <w:bookmarkEnd w:id="0"/>
      <w:r w:rsidRPr="00BA7285">
        <w:rPr>
          <w:sz w:val="32"/>
          <w:szCs w:val="32"/>
        </w:rPr>
        <w:t>Правительство Российской Федерации</w:t>
      </w:r>
    </w:p>
    <w:p w:rsidR="00BA7285" w:rsidRPr="00BA7285" w:rsidRDefault="00BA7285" w:rsidP="00BA7285">
      <w:pPr>
        <w:widowControl w:val="0"/>
        <w:tabs>
          <w:tab w:val="left" w:pos="5420"/>
        </w:tabs>
        <w:spacing w:after="0" w:line="240" w:lineRule="auto"/>
        <w:jc w:val="center"/>
        <w:rPr>
          <w:rFonts w:ascii="Times New Roman" w:eastAsia="Times New Roman" w:hAnsi="Times New Roman" w:cs="Times New Roman"/>
          <w:b/>
          <w:snapToGrid w:val="0"/>
          <w:sz w:val="28"/>
          <w:szCs w:val="28"/>
          <w:lang w:eastAsia="ru-RU"/>
        </w:rPr>
      </w:pPr>
    </w:p>
    <w:p w:rsidR="00BA7285" w:rsidRPr="00BA7285" w:rsidRDefault="00BA7285" w:rsidP="00BA7285">
      <w:pPr>
        <w:widowControl w:val="0"/>
        <w:tabs>
          <w:tab w:val="left" w:pos="5420"/>
        </w:tabs>
        <w:spacing w:after="0" w:line="240" w:lineRule="auto"/>
        <w:jc w:val="center"/>
        <w:rPr>
          <w:rFonts w:ascii="Times New Roman" w:eastAsia="Times New Roman" w:hAnsi="Times New Roman" w:cs="Times New Roman"/>
          <w:b/>
          <w:snapToGrid w:val="0"/>
          <w:sz w:val="28"/>
          <w:szCs w:val="28"/>
          <w:lang w:eastAsia="ru-RU"/>
        </w:rPr>
      </w:pPr>
      <w:r w:rsidRPr="00BA7285">
        <w:rPr>
          <w:rFonts w:ascii="Times New Roman" w:eastAsia="Times New Roman" w:hAnsi="Times New Roman" w:cs="Times New Roman"/>
          <w:b/>
          <w:snapToGrid w:val="0"/>
          <w:sz w:val="28"/>
          <w:szCs w:val="28"/>
          <w:lang w:eastAsia="ru-RU"/>
        </w:rPr>
        <w:t>Ф</w:t>
      </w:r>
      <w:r w:rsidRPr="00BA7285">
        <w:rPr>
          <w:rFonts w:ascii="Times New Roman" w:eastAsia="Times New Roman" w:hAnsi="Times New Roman" w:cs="Times New Roman" w:hint="eastAsia"/>
          <w:b/>
          <w:snapToGrid w:val="0"/>
          <w:sz w:val="28"/>
          <w:szCs w:val="28"/>
          <w:lang w:eastAsia="ru-RU"/>
        </w:rPr>
        <w:t>едерально</w:t>
      </w:r>
      <w:r w:rsidRPr="00BA7285">
        <w:rPr>
          <w:rFonts w:ascii="Times New Roman" w:eastAsia="Times New Roman" w:hAnsi="Times New Roman" w:cs="Times New Roman"/>
          <w:b/>
          <w:snapToGrid w:val="0"/>
          <w:sz w:val="28"/>
          <w:szCs w:val="28"/>
          <w:lang w:eastAsia="ru-RU"/>
        </w:rPr>
        <w:t xml:space="preserve">е </w:t>
      </w:r>
      <w:r w:rsidRPr="00BA7285">
        <w:rPr>
          <w:rFonts w:ascii="Times New Roman" w:eastAsia="Times New Roman" w:hAnsi="Times New Roman" w:cs="Times New Roman" w:hint="eastAsia"/>
          <w:b/>
          <w:snapToGrid w:val="0"/>
          <w:sz w:val="28"/>
          <w:szCs w:val="28"/>
          <w:lang w:eastAsia="ru-RU"/>
        </w:rPr>
        <w:t>государственно</w:t>
      </w:r>
      <w:r w:rsidRPr="00BA7285">
        <w:rPr>
          <w:rFonts w:ascii="Times New Roman" w:eastAsia="Times New Roman" w:hAnsi="Times New Roman" w:cs="Times New Roman"/>
          <w:b/>
          <w:snapToGrid w:val="0"/>
          <w:sz w:val="28"/>
          <w:szCs w:val="28"/>
          <w:lang w:eastAsia="ru-RU"/>
        </w:rPr>
        <w:t xml:space="preserve">е </w:t>
      </w:r>
      <w:r w:rsidRPr="00BA7285">
        <w:rPr>
          <w:rFonts w:ascii="Times New Roman" w:eastAsia="Times New Roman" w:hAnsi="Times New Roman" w:cs="Times New Roman" w:hint="eastAsia"/>
          <w:b/>
          <w:snapToGrid w:val="0"/>
          <w:sz w:val="28"/>
          <w:szCs w:val="28"/>
          <w:lang w:eastAsia="ru-RU"/>
        </w:rPr>
        <w:t>автономно</w:t>
      </w:r>
      <w:r w:rsidRPr="00BA7285">
        <w:rPr>
          <w:rFonts w:ascii="Times New Roman" w:eastAsia="Times New Roman" w:hAnsi="Times New Roman" w:cs="Times New Roman"/>
          <w:b/>
          <w:snapToGrid w:val="0"/>
          <w:sz w:val="28"/>
          <w:szCs w:val="28"/>
          <w:lang w:eastAsia="ru-RU"/>
        </w:rPr>
        <w:t xml:space="preserve">е </w:t>
      </w:r>
      <w:r w:rsidRPr="00BA7285">
        <w:rPr>
          <w:rFonts w:ascii="Times New Roman" w:eastAsia="Times New Roman" w:hAnsi="Times New Roman" w:cs="Times New Roman" w:hint="eastAsia"/>
          <w:b/>
          <w:snapToGrid w:val="0"/>
          <w:sz w:val="28"/>
          <w:szCs w:val="28"/>
          <w:lang w:eastAsia="ru-RU"/>
        </w:rPr>
        <w:t>образовательно</w:t>
      </w:r>
      <w:r w:rsidRPr="00BA7285">
        <w:rPr>
          <w:rFonts w:ascii="Times New Roman" w:eastAsia="Times New Roman" w:hAnsi="Times New Roman" w:cs="Times New Roman"/>
          <w:b/>
          <w:snapToGrid w:val="0"/>
          <w:sz w:val="28"/>
          <w:szCs w:val="28"/>
          <w:lang w:eastAsia="ru-RU"/>
        </w:rPr>
        <w:t xml:space="preserve">е </w:t>
      </w:r>
      <w:r w:rsidRPr="00BA7285">
        <w:rPr>
          <w:rFonts w:ascii="Times New Roman" w:eastAsia="Times New Roman" w:hAnsi="Times New Roman" w:cs="Times New Roman" w:hint="eastAsia"/>
          <w:b/>
          <w:snapToGrid w:val="0"/>
          <w:sz w:val="28"/>
          <w:szCs w:val="28"/>
          <w:lang w:eastAsia="ru-RU"/>
        </w:rPr>
        <w:t>учреждени</w:t>
      </w:r>
      <w:r w:rsidRPr="00BA7285">
        <w:rPr>
          <w:rFonts w:ascii="Times New Roman" w:eastAsia="Times New Roman" w:hAnsi="Times New Roman" w:cs="Times New Roman"/>
          <w:b/>
          <w:snapToGrid w:val="0"/>
          <w:sz w:val="28"/>
          <w:szCs w:val="28"/>
          <w:lang w:eastAsia="ru-RU"/>
        </w:rPr>
        <w:t xml:space="preserve">е </w:t>
      </w:r>
      <w:r w:rsidRPr="00BA7285">
        <w:rPr>
          <w:rFonts w:ascii="Times New Roman" w:eastAsia="Times New Roman" w:hAnsi="Times New Roman" w:cs="Times New Roman" w:hint="eastAsia"/>
          <w:b/>
          <w:snapToGrid w:val="0"/>
          <w:sz w:val="28"/>
          <w:szCs w:val="28"/>
          <w:lang w:eastAsia="ru-RU"/>
        </w:rPr>
        <w:t>высшего</w:t>
      </w:r>
      <w:r w:rsidRPr="00BA7285">
        <w:rPr>
          <w:rFonts w:ascii="Times New Roman" w:eastAsia="Times New Roman" w:hAnsi="Times New Roman" w:cs="Times New Roman"/>
          <w:b/>
          <w:snapToGrid w:val="0"/>
          <w:sz w:val="28"/>
          <w:szCs w:val="28"/>
          <w:lang w:eastAsia="ru-RU"/>
        </w:rPr>
        <w:t xml:space="preserve"> </w:t>
      </w:r>
      <w:r w:rsidRPr="00BA7285">
        <w:rPr>
          <w:rFonts w:ascii="Times New Roman" w:eastAsia="Times New Roman" w:hAnsi="Times New Roman" w:cs="Times New Roman" w:hint="eastAsia"/>
          <w:b/>
          <w:snapToGrid w:val="0"/>
          <w:sz w:val="28"/>
          <w:szCs w:val="28"/>
          <w:lang w:eastAsia="ru-RU"/>
        </w:rPr>
        <w:t>профессионального</w:t>
      </w:r>
      <w:r w:rsidRPr="00BA7285">
        <w:rPr>
          <w:rFonts w:ascii="Times New Roman" w:eastAsia="Times New Roman" w:hAnsi="Times New Roman" w:cs="Times New Roman"/>
          <w:b/>
          <w:snapToGrid w:val="0"/>
          <w:sz w:val="28"/>
          <w:szCs w:val="28"/>
          <w:lang w:eastAsia="ru-RU"/>
        </w:rPr>
        <w:t xml:space="preserve"> </w:t>
      </w:r>
      <w:r w:rsidRPr="00BA7285">
        <w:rPr>
          <w:rFonts w:ascii="Times New Roman" w:eastAsia="Times New Roman" w:hAnsi="Times New Roman" w:cs="Times New Roman" w:hint="eastAsia"/>
          <w:b/>
          <w:snapToGrid w:val="0"/>
          <w:sz w:val="28"/>
          <w:szCs w:val="28"/>
          <w:lang w:eastAsia="ru-RU"/>
        </w:rPr>
        <w:t>образования</w:t>
      </w:r>
      <w:r w:rsidRPr="00BA7285">
        <w:rPr>
          <w:rFonts w:ascii="Times New Roman" w:eastAsia="Times New Roman" w:hAnsi="Times New Roman" w:cs="Times New Roman"/>
          <w:b/>
          <w:snapToGrid w:val="0"/>
          <w:sz w:val="28"/>
          <w:szCs w:val="28"/>
          <w:lang w:eastAsia="ru-RU"/>
        </w:rPr>
        <w:t xml:space="preserve"> </w:t>
      </w:r>
    </w:p>
    <w:p w:rsidR="00BA7285" w:rsidRPr="00BA7285" w:rsidRDefault="00BA7285" w:rsidP="00BA7285">
      <w:pPr>
        <w:widowControl w:val="0"/>
        <w:tabs>
          <w:tab w:val="left" w:pos="5420"/>
        </w:tabs>
        <w:spacing w:after="0" w:line="240" w:lineRule="auto"/>
        <w:jc w:val="center"/>
        <w:rPr>
          <w:rFonts w:ascii="Times New Roman" w:eastAsia="Times New Roman" w:hAnsi="Times New Roman" w:cs="Times New Roman"/>
          <w:b/>
          <w:snapToGrid w:val="0"/>
          <w:sz w:val="28"/>
          <w:szCs w:val="28"/>
          <w:lang w:eastAsia="ru-RU"/>
        </w:rPr>
      </w:pPr>
    </w:p>
    <w:p w:rsidR="00BA7285" w:rsidRPr="00BA7285" w:rsidRDefault="00BA7285" w:rsidP="00BA7285">
      <w:pPr>
        <w:widowControl w:val="0"/>
        <w:tabs>
          <w:tab w:val="left" w:pos="5420"/>
        </w:tabs>
        <w:spacing w:after="0" w:line="240" w:lineRule="auto"/>
        <w:jc w:val="center"/>
        <w:rPr>
          <w:rFonts w:ascii="Times New Roman" w:eastAsia="Times New Roman" w:hAnsi="Times New Roman" w:cs="Times New Roman"/>
          <w:b/>
          <w:snapToGrid w:val="0"/>
          <w:sz w:val="36"/>
          <w:szCs w:val="36"/>
          <w:lang w:eastAsia="ru-RU"/>
          <w14:shadow w14:blurRad="50800" w14:dist="38100" w14:dir="2700000" w14:sx="100000" w14:sy="100000" w14:kx="0" w14:ky="0" w14:algn="tl">
            <w14:srgbClr w14:val="000000">
              <w14:alpha w14:val="60000"/>
            </w14:srgbClr>
          </w14:shadow>
        </w:rPr>
      </w:pPr>
      <w:r w:rsidRPr="00BA7285">
        <w:rPr>
          <w:rFonts w:ascii="Times New Roman" w:eastAsia="Times New Roman" w:hAnsi="Times New Roman" w:cs="Times New Roman"/>
          <w:b/>
          <w:snapToGrid w:val="0"/>
          <w:sz w:val="36"/>
          <w:szCs w:val="36"/>
          <w:lang w:eastAsia="ru-RU"/>
        </w:rPr>
        <w:t>"</w:t>
      </w:r>
      <w:r w:rsidRPr="00BA7285">
        <w:rPr>
          <w:rFonts w:ascii="Times New Roman" w:eastAsia="Times New Roman" w:hAnsi="Times New Roman" w:cs="Times New Roman" w:hint="eastAsia"/>
          <w:b/>
          <w:snapToGrid w:val="0"/>
          <w:sz w:val="36"/>
          <w:szCs w:val="36"/>
          <w:lang w:eastAsia="ru-RU"/>
        </w:rPr>
        <w:t>Национальный</w:t>
      </w:r>
      <w:r w:rsidRPr="00BA7285">
        <w:rPr>
          <w:rFonts w:ascii="Times New Roman" w:eastAsia="Times New Roman" w:hAnsi="Times New Roman" w:cs="Times New Roman"/>
          <w:b/>
          <w:snapToGrid w:val="0"/>
          <w:sz w:val="36"/>
          <w:szCs w:val="36"/>
          <w:lang w:eastAsia="ru-RU"/>
        </w:rPr>
        <w:t xml:space="preserve"> </w:t>
      </w:r>
      <w:r w:rsidRPr="00BA7285">
        <w:rPr>
          <w:rFonts w:ascii="Times New Roman" w:eastAsia="Times New Roman" w:hAnsi="Times New Roman" w:cs="Times New Roman" w:hint="eastAsia"/>
          <w:b/>
          <w:snapToGrid w:val="0"/>
          <w:sz w:val="36"/>
          <w:szCs w:val="36"/>
          <w:lang w:eastAsia="ru-RU"/>
        </w:rPr>
        <w:t>исследовательский</w:t>
      </w:r>
      <w:r w:rsidRPr="00BA7285">
        <w:rPr>
          <w:rFonts w:ascii="Times New Roman" w:eastAsia="Times New Roman" w:hAnsi="Times New Roman" w:cs="Times New Roman"/>
          <w:b/>
          <w:snapToGrid w:val="0"/>
          <w:sz w:val="36"/>
          <w:szCs w:val="36"/>
          <w:lang w:eastAsia="ru-RU"/>
        </w:rPr>
        <w:t xml:space="preserve"> </w:t>
      </w:r>
      <w:r w:rsidRPr="00BA7285">
        <w:rPr>
          <w:rFonts w:ascii="Times New Roman" w:eastAsia="Times New Roman" w:hAnsi="Times New Roman" w:cs="Times New Roman" w:hint="eastAsia"/>
          <w:b/>
          <w:snapToGrid w:val="0"/>
          <w:sz w:val="36"/>
          <w:szCs w:val="36"/>
          <w:lang w:eastAsia="ru-RU"/>
        </w:rPr>
        <w:t>университет</w:t>
      </w:r>
      <w:r w:rsidRPr="00BA7285">
        <w:rPr>
          <w:rFonts w:ascii="Times New Roman" w:eastAsia="Times New Roman" w:hAnsi="Times New Roman" w:cs="Times New Roman"/>
          <w:b/>
          <w:snapToGrid w:val="0"/>
          <w:sz w:val="36"/>
          <w:szCs w:val="36"/>
          <w:lang w:eastAsia="ru-RU"/>
        </w:rPr>
        <w:t xml:space="preserve"> </w:t>
      </w:r>
      <w:r w:rsidRPr="00BA7285">
        <w:rPr>
          <w:rFonts w:ascii="Times New Roman" w:eastAsia="Times New Roman" w:hAnsi="Times New Roman" w:cs="Times New Roman"/>
          <w:b/>
          <w:snapToGrid w:val="0"/>
          <w:sz w:val="36"/>
          <w:szCs w:val="36"/>
          <w:lang w:eastAsia="ru-RU"/>
        </w:rPr>
        <w:br/>
        <w:t>"</w:t>
      </w:r>
      <w:r w:rsidRPr="00BA7285">
        <w:rPr>
          <w:rFonts w:ascii="Times New Roman" w:eastAsia="Times New Roman" w:hAnsi="Times New Roman" w:cs="Times New Roman" w:hint="eastAsia"/>
          <w:b/>
          <w:snapToGrid w:val="0"/>
          <w:sz w:val="36"/>
          <w:szCs w:val="36"/>
          <w:lang w:eastAsia="ru-RU"/>
        </w:rPr>
        <w:t>Высшая</w:t>
      </w:r>
      <w:r w:rsidRPr="00BA7285">
        <w:rPr>
          <w:rFonts w:ascii="Times New Roman" w:eastAsia="Times New Roman" w:hAnsi="Times New Roman" w:cs="Times New Roman"/>
          <w:b/>
          <w:snapToGrid w:val="0"/>
          <w:sz w:val="36"/>
          <w:szCs w:val="36"/>
          <w:lang w:eastAsia="ru-RU"/>
        </w:rPr>
        <w:t xml:space="preserve"> </w:t>
      </w:r>
      <w:r w:rsidRPr="00BA7285">
        <w:rPr>
          <w:rFonts w:ascii="Times New Roman" w:eastAsia="Times New Roman" w:hAnsi="Times New Roman" w:cs="Times New Roman" w:hint="eastAsia"/>
          <w:b/>
          <w:snapToGrid w:val="0"/>
          <w:sz w:val="36"/>
          <w:szCs w:val="36"/>
          <w:lang w:eastAsia="ru-RU"/>
        </w:rPr>
        <w:t>школа</w:t>
      </w:r>
      <w:r w:rsidRPr="00BA7285">
        <w:rPr>
          <w:rFonts w:ascii="Times New Roman" w:eastAsia="Times New Roman" w:hAnsi="Times New Roman" w:cs="Times New Roman"/>
          <w:b/>
          <w:snapToGrid w:val="0"/>
          <w:sz w:val="36"/>
          <w:szCs w:val="36"/>
          <w:lang w:eastAsia="ru-RU"/>
        </w:rPr>
        <w:t xml:space="preserve"> </w:t>
      </w:r>
      <w:r w:rsidRPr="00BA7285">
        <w:rPr>
          <w:rFonts w:ascii="Times New Roman" w:eastAsia="Times New Roman" w:hAnsi="Times New Roman" w:cs="Times New Roman" w:hint="eastAsia"/>
          <w:b/>
          <w:snapToGrid w:val="0"/>
          <w:sz w:val="36"/>
          <w:szCs w:val="36"/>
          <w:lang w:eastAsia="ru-RU"/>
        </w:rPr>
        <w:t>экономики</w:t>
      </w:r>
      <w:r w:rsidRPr="00BA7285">
        <w:rPr>
          <w:rFonts w:ascii="Times New Roman" w:eastAsia="Times New Roman" w:hAnsi="Times New Roman" w:cs="Times New Roman"/>
          <w:b/>
          <w:snapToGrid w:val="0"/>
          <w:sz w:val="36"/>
          <w:szCs w:val="36"/>
          <w:lang w:eastAsia="ru-RU"/>
        </w:rPr>
        <w:t>"</w:t>
      </w:r>
    </w:p>
    <w:p w:rsidR="00BA7285" w:rsidRPr="00BA7285" w:rsidRDefault="00BA7285" w:rsidP="00BA7285">
      <w:pPr>
        <w:spacing w:after="0" w:line="240" w:lineRule="auto"/>
        <w:rPr>
          <w:rFonts w:ascii="Times New Roman" w:eastAsia="Times New Roman" w:hAnsi="Times New Roman" w:cs="Times New Roman"/>
          <w:sz w:val="20"/>
          <w:szCs w:val="20"/>
          <w:lang w:eastAsia="ru-RU"/>
        </w:rPr>
      </w:pPr>
    </w:p>
    <w:p w:rsidR="00BA7285" w:rsidRPr="00BA7285" w:rsidRDefault="00BA7285" w:rsidP="00BA7285">
      <w:pPr>
        <w:spacing w:before="240" w:after="60" w:line="240" w:lineRule="auto"/>
        <w:outlineLvl w:val="5"/>
        <w:rPr>
          <w:rFonts w:ascii="Times New Roman" w:eastAsia="Times New Roman" w:hAnsi="Times New Roman" w:cs="Times New Roman"/>
          <w:b/>
          <w:bCs/>
          <w:sz w:val="28"/>
          <w:szCs w:val="28"/>
          <w:lang w:eastAsia="ru-RU"/>
        </w:rPr>
      </w:pPr>
      <w:r w:rsidRPr="00BA7285">
        <w:rPr>
          <w:rFonts w:ascii="Times New Roman" w:eastAsia="Times New Roman" w:hAnsi="Times New Roman" w:cs="Times New Roman"/>
          <w:b/>
          <w:bCs/>
          <w:sz w:val="28"/>
          <w:szCs w:val="28"/>
          <w:lang w:eastAsia="ru-RU"/>
        </w:rPr>
        <w:t>Факультет мировой экономики и мировой политики</w:t>
      </w:r>
    </w:p>
    <w:p w:rsidR="00BA7285" w:rsidRPr="00BA7285" w:rsidRDefault="00BA7285" w:rsidP="00BA7285">
      <w:pPr>
        <w:spacing w:before="240" w:after="60" w:line="240" w:lineRule="auto"/>
        <w:outlineLvl w:val="5"/>
        <w:rPr>
          <w:rFonts w:ascii="Times New Roman" w:eastAsia="Times New Roman" w:hAnsi="Times New Roman" w:cs="Times New Roman"/>
          <w:b/>
          <w:bCs/>
          <w:sz w:val="28"/>
          <w:szCs w:val="28"/>
          <w:lang w:eastAsia="ru-RU"/>
        </w:rPr>
      </w:pPr>
      <w:r w:rsidRPr="00BA7285">
        <w:rPr>
          <w:rFonts w:ascii="Times New Roman" w:eastAsia="Times New Roman" w:hAnsi="Times New Roman" w:cs="Times New Roman"/>
          <w:b/>
          <w:bCs/>
          <w:sz w:val="28"/>
          <w:szCs w:val="28"/>
          <w:lang w:eastAsia="ru-RU"/>
        </w:rPr>
        <w:t>Кафедра международных валютно-финансовых отношений</w:t>
      </w:r>
    </w:p>
    <w:p w:rsidR="00BA7285" w:rsidRPr="00BA7285" w:rsidRDefault="00BA7285" w:rsidP="00BA7285">
      <w:pPr>
        <w:autoSpaceDE w:val="0"/>
        <w:autoSpaceDN w:val="0"/>
        <w:adjustRightInd w:val="0"/>
        <w:spacing w:after="0" w:line="240" w:lineRule="auto"/>
        <w:jc w:val="center"/>
        <w:rPr>
          <w:rFonts w:ascii="Times New Roman" w:eastAsia="Times New Roman" w:hAnsi="Times New Roman" w:cs="Times New Roman"/>
          <w:sz w:val="20"/>
          <w:szCs w:val="18"/>
          <w:lang w:eastAsia="ru-RU"/>
        </w:rPr>
      </w:pPr>
    </w:p>
    <w:p w:rsidR="00BA7285" w:rsidRPr="00BA7285" w:rsidRDefault="00BA7285" w:rsidP="00BA7285">
      <w:pPr>
        <w:autoSpaceDE w:val="0"/>
        <w:autoSpaceDN w:val="0"/>
        <w:adjustRightInd w:val="0"/>
        <w:spacing w:after="0" w:line="240" w:lineRule="auto"/>
        <w:jc w:val="center"/>
        <w:rPr>
          <w:rFonts w:ascii="Times New Roman" w:eastAsia="Times New Roman" w:hAnsi="Times New Roman" w:cs="Times New Roman"/>
          <w:sz w:val="20"/>
          <w:szCs w:val="18"/>
          <w:lang w:eastAsia="ru-RU"/>
        </w:rPr>
      </w:pPr>
    </w:p>
    <w:p w:rsidR="00BA7285" w:rsidRPr="00BA7285" w:rsidRDefault="00BA7285" w:rsidP="00BA7285">
      <w:pPr>
        <w:autoSpaceDE w:val="0"/>
        <w:autoSpaceDN w:val="0"/>
        <w:adjustRightInd w:val="0"/>
        <w:spacing w:after="0" w:line="240" w:lineRule="auto"/>
        <w:jc w:val="center"/>
        <w:rPr>
          <w:rFonts w:ascii="Times New Roman" w:eastAsia="Times New Roman" w:hAnsi="Times New Roman" w:cs="Times New Roman"/>
          <w:sz w:val="20"/>
          <w:szCs w:val="18"/>
          <w:lang w:eastAsia="ru-RU"/>
        </w:rPr>
      </w:pPr>
    </w:p>
    <w:p w:rsidR="00BA7285" w:rsidRPr="00BA7285" w:rsidRDefault="00BA7285" w:rsidP="00BA7285">
      <w:pPr>
        <w:autoSpaceDE w:val="0"/>
        <w:autoSpaceDN w:val="0"/>
        <w:adjustRightInd w:val="0"/>
        <w:spacing w:after="0" w:line="240" w:lineRule="auto"/>
        <w:jc w:val="center"/>
        <w:rPr>
          <w:rFonts w:ascii="Times New Roman" w:eastAsia="Times New Roman" w:hAnsi="Times New Roman" w:cs="Times New Roman"/>
          <w:sz w:val="20"/>
          <w:szCs w:val="18"/>
          <w:lang w:eastAsia="ru-RU"/>
        </w:rPr>
      </w:pPr>
    </w:p>
    <w:p w:rsidR="00BA7285" w:rsidRPr="00BA7285" w:rsidRDefault="00BA7285" w:rsidP="00BA7285">
      <w:pPr>
        <w:spacing w:before="240" w:after="60" w:line="240" w:lineRule="auto"/>
        <w:jc w:val="center"/>
        <w:outlineLvl w:val="5"/>
        <w:rPr>
          <w:rFonts w:ascii="Times New Roman" w:eastAsia="Times New Roman" w:hAnsi="Times New Roman" w:cs="Times New Roman"/>
          <w:sz w:val="28"/>
          <w:szCs w:val="28"/>
          <w:lang w:eastAsia="ru-RU"/>
        </w:rPr>
      </w:pPr>
      <w:r w:rsidRPr="00BA7285">
        <w:rPr>
          <w:rFonts w:ascii="Times New Roman" w:eastAsia="Times New Roman" w:hAnsi="Times New Roman" w:cs="Times New Roman"/>
          <w:b/>
          <w:bCs/>
          <w:sz w:val="28"/>
          <w:szCs w:val="28"/>
          <w:lang w:eastAsia="ru-RU"/>
        </w:rPr>
        <w:t>ВЫПУСКНАЯ</w:t>
      </w:r>
      <w:r w:rsidRPr="00BA7285">
        <w:rPr>
          <w:rFonts w:ascii="Times New Roman" w:eastAsia="Times New Roman" w:hAnsi="Times New Roman" w:cs="Times New Roman"/>
          <w:sz w:val="28"/>
          <w:szCs w:val="28"/>
          <w:lang w:eastAsia="ru-RU"/>
        </w:rPr>
        <w:t xml:space="preserve"> </w:t>
      </w:r>
      <w:r w:rsidRPr="00BA7285">
        <w:rPr>
          <w:rFonts w:ascii="Times New Roman" w:eastAsia="Times New Roman" w:hAnsi="Times New Roman" w:cs="Times New Roman"/>
          <w:b/>
          <w:sz w:val="28"/>
          <w:szCs w:val="28"/>
          <w:lang w:eastAsia="ru-RU"/>
        </w:rPr>
        <w:t>КВАЛИФИКАЦИОННАЯ РАБОТА</w:t>
      </w:r>
    </w:p>
    <w:p w:rsidR="00BA7285" w:rsidRPr="00BA7285" w:rsidRDefault="00BA7285" w:rsidP="00BA7285">
      <w:pPr>
        <w:autoSpaceDE w:val="0"/>
        <w:autoSpaceDN w:val="0"/>
        <w:adjustRightInd w:val="0"/>
        <w:spacing w:after="0" w:line="240" w:lineRule="auto"/>
        <w:jc w:val="center"/>
        <w:rPr>
          <w:rFonts w:ascii="Times New Roman" w:eastAsia="Times New Roman" w:hAnsi="Times New Roman" w:cs="Times New Roman"/>
          <w:b/>
          <w:bCs/>
          <w:sz w:val="20"/>
          <w:szCs w:val="18"/>
          <w:lang w:eastAsia="ru-RU"/>
        </w:rPr>
      </w:pPr>
    </w:p>
    <w:p w:rsidR="00BA7285" w:rsidRPr="00BA7285" w:rsidRDefault="00BA7285" w:rsidP="00BA7285">
      <w:pPr>
        <w:autoSpaceDE w:val="0"/>
        <w:autoSpaceDN w:val="0"/>
        <w:adjustRightInd w:val="0"/>
        <w:spacing w:after="0" w:line="240" w:lineRule="auto"/>
        <w:jc w:val="center"/>
        <w:rPr>
          <w:rFonts w:ascii="Times New Roman" w:eastAsia="Times New Roman" w:hAnsi="Times New Roman" w:cs="Times New Roman"/>
          <w:b/>
          <w:bCs/>
          <w:sz w:val="28"/>
          <w:szCs w:val="18"/>
          <w:lang w:eastAsia="ru-RU"/>
        </w:rPr>
      </w:pPr>
    </w:p>
    <w:p w:rsidR="00BA7285" w:rsidRPr="00BA7285" w:rsidRDefault="00BA7285" w:rsidP="00BA7285">
      <w:pPr>
        <w:autoSpaceDE w:val="0"/>
        <w:autoSpaceDN w:val="0"/>
        <w:adjustRightInd w:val="0"/>
        <w:spacing w:before="35" w:after="0" w:line="240" w:lineRule="auto"/>
        <w:ind w:right="278"/>
        <w:jc w:val="center"/>
        <w:rPr>
          <w:rFonts w:ascii="Times New Roman" w:eastAsia="Times New Roman" w:hAnsi="Times New Roman" w:cs="Times New Roman"/>
          <w:sz w:val="28"/>
          <w:szCs w:val="28"/>
          <w:lang w:eastAsia="ru-RU"/>
        </w:rPr>
      </w:pPr>
      <w:r w:rsidRPr="00BA7285">
        <w:rPr>
          <w:rFonts w:ascii="Times New Roman" w:eastAsia="Times New Roman" w:hAnsi="Times New Roman" w:cs="Times New Roman"/>
          <w:sz w:val="28"/>
          <w:szCs w:val="28"/>
          <w:lang w:eastAsia="ru-RU"/>
        </w:rPr>
        <w:t>На тему: Австралийская система регулирования финансового рынка и особенности саморегулирования профучастников</w:t>
      </w:r>
    </w:p>
    <w:p w:rsidR="00BA7285" w:rsidRPr="00BA7285" w:rsidRDefault="00BA7285" w:rsidP="00BA7285">
      <w:pPr>
        <w:autoSpaceDE w:val="0"/>
        <w:autoSpaceDN w:val="0"/>
        <w:adjustRightInd w:val="0"/>
        <w:spacing w:before="35" w:after="0" w:line="240" w:lineRule="auto"/>
        <w:jc w:val="both"/>
        <w:rPr>
          <w:rFonts w:ascii="Times New Roman" w:eastAsia="Times New Roman" w:hAnsi="Times New Roman" w:cs="Times New Roman"/>
          <w:sz w:val="28"/>
          <w:szCs w:val="28"/>
          <w:lang w:eastAsia="ru-RU"/>
        </w:rPr>
      </w:pPr>
    </w:p>
    <w:p w:rsidR="00BA7285" w:rsidRPr="00BA7285" w:rsidRDefault="00BA7285" w:rsidP="00BA7285">
      <w:pPr>
        <w:autoSpaceDE w:val="0"/>
        <w:autoSpaceDN w:val="0"/>
        <w:adjustRightInd w:val="0"/>
        <w:spacing w:before="35" w:after="0" w:line="240" w:lineRule="auto"/>
        <w:jc w:val="both"/>
        <w:rPr>
          <w:rFonts w:ascii="Times New Roman" w:eastAsia="Times New Roman" w:hAnsi="Times New Roman" w:cs="Times New Roman"/>
          <w:sz w:val="20"/>
          <w:szCs w:val="18"/>
          <w:lang w:eastAsia="ru-RU"/>
        </w:rPr>
      </w:pPr>
    </w:p>
    <w:p w:rsidR="00BA7285" w:rsidRPr="00BA7285" w:rsidRDefault="00BA7285" w:rsidP="00BA7285">
      <w:pPr>
        <w:autoSpaceDE w:val="0"/>
        <w:autoSpaceDN w:val="0"/>
        <w:adjustRightInd w:val="0"/>
        <w:spacing w:before="35" w:after="0" w:line="240" w:lineRule="auto"/>
        <w:jc w:val="both"/>
        <w:rPr>
          <w:rFonts w:ascii="Times New Roman" w:eastAsia="Times New Roman" w:hAnsi="Times New Roman" w:cs="Times New Roman"/>
          <w:sz w:val="20"/>
          <w:szCs w:val="18"/>
          <w:lang w:eastAsia="ru-RU"/>
        </w:rPr>
      </w:pPr>
    </w:p>
    <w:p w:rsidR="00BA7285" w:rsidRPr="00BA7285" w:rsidRDefault="00BA7285" w:rsidP="00BA7285">
      <w:pPr>
        <w:autoSpaceDE w:val="0"/>
        <w:autoSpaceDN w:val="0"/>
        <w:adjustRightInd w:val="0"/>
        <w:spacing w:before="35" w:after="0" w:line="240" w:lineRule="auto"/>
        <w:jc w:val="both"/>
        <w:rPr>
          <w:rFonts w:ascii="Times New Roman" w:eastAsia="Times New Roman" w:hAnsi="Times New Roman" w:cs="Times New Roman"/>
          <w:sz w:val="20"/>
          <w:szCs w:val="18"/>
          <w:lang w:eastAsia="ru-RU"/>
        </w:rPr>
      </w:pPr>
    </w:p>
    <w:p w:rsidR="00BA7285" w:rsidRPr="00BA7285" w:rsidRDefault="00BA7285" w:rsidP="00BA7285">
      <w:pPr>
        <w:autoSpaceDE w:val="0"/>
        <w:autoSpaceDN w:val="0"/>
        <w:adjustRightInd w:val="0"/>
        <w:spacing w:before="35" w:after="0" w:line="240" w:lineRule="auto"/>
        <w:ind w:left="6300"/>
        <w:jc w:val="both"/>
        <w:rPr>
          <w:rFonts w:ascii="Times New Roman" w:eastAsia="Times New Roman" w:hAnsi="Times New Roman" w:cs="Times New Roman"/>
          <w:sz w:val="28"/>
          <w:szCs w:val="28"/>
          <w:lang w:eastAsia="ru-RU"/>
        </w:rPr>
      </w:pPr>
    </w:p>
    <w:p w:rsidR="00BA7285" w:rsidRPr="00BA7285" w:rsidRDefault="00BA7285" w:rsidP="00BA7285">
      <w:pPr>
        <w:tabs>
          <w:tab w:val="left" w:pos="8820"/>
        </w:tabs>
        <w:spacing w:after="0" w:line="240" w:lineRule="auto"/>
        <w:ind w:left="4956" w:right="818"/>
        <w:rPr>
          <w:rFonts w:ascii="Times New Roman" w:eastAsia="Times New Roman" w:hAnsi="Times New Roman" w:cs="Times New Roman"/>
          <w:sz w:val="28"/>
          <w:szCs w:val="28"/>
          <w:lang w:eastAsia="ru-RU"/>
        </w:rPr>
      </w:pPr>
      <w:r w:rsidRPr="00BA7285">
        <w:rPr>
          <w:rFonts w:ascii="Times New Roman" w:eastAsia="Times New Roman" w:hAnsi="Times New Roman" w:cs="Times New Roman"/>
          <w:sz w:val="28"/>
          <w:szCs w:val="28"/>
          <w:lang w:eastAsia="ru-RU"/>
        </w:rPr>
        <w:t>Студент группы № 562</w:t>
      </w:r>
    </w:p>
    <w:p w:rsidR="00BA7285" w:rsidRPr="00BA7285" w:rsidRDefault="00BA7285" w:rsidP="00BA7285">
      <w:pPr>
        <w:tabs>
          <w:tab w:val="left" w:pos="8820"/>
        </w:tabs>
        <w:spacing w:after="0" w:line="240" w:lineRule="auto"/>
        <w:ind w:left="4956" w:right="818"/>
        <w:rPr>
          <w:rFonts w:ascii="Times New Roman" w:eastAsia="Times New Roman" w:hAnsi="Times New Roman" w:cs="Times New Roman"/>
          <w:sz w:val="28"/>
          <w:szCs w:val="28"/>
          <w:lang w:eastAsia="ru-RU"/>
        </w:rPr>
      </w:pPr>
      <w:r w:rsidRPr="00BA7285">
        <w:rPr>
          <w:rFonts w:ascii="Times New Roman" w:eastAsia="Times New Roman" w:hAnsi="Times New Roman" w:cs="Times New Roman"/>
          <w:sz w:val="28"/>
          <w:szCs w:val="28"/>
          <w:lang w:eastAsia="ru-RU"/>
        </w:rPr>
        <w:t>К.Д. Ярцева</w:t>
      </w:r>
    </w:p>
    <w:p w:rsidR="00BA7285" w:rsidRPr="00BA7285" w:rsidRDefault="00BA7285" w:rsidP="00BA7285">
      <w:pPr>
        <w:tabs>
          <w:tab w:val="left" w:pos="8820"/>
        </w:tabs>
        <w:spacing w:after="0" w:line="240" w:lineRule="auto"/>
        <w:ind w:left="4956" w:right="818"/>
        <w:rPr>
          <w:rFonts w:ascii="Times New Roman" w:eastAsia="Times New Roman" w:hAnsi="Times New Roman" w:cs="Times New Roman"/>
          <w:sz w:val="20"/>
          <w:szCs w:val="20"/>
          <w:lang w:eastAsia="ru-RU"/>
        </w:rPr>
      </w:pPr>
      <w:r w:rsidRPr="00BA7285">
        <w:rPr>
          <w:rFonts w:ascii="Times New Roman" w:eastAsia="Times New Roman" w:hAnsi="Times New Roman" w:cs="Times New Roman"/>
          <w:sz w:val="20"/>
          <w:szCs w:val="20"/>
          <w:lang w:eastAsia="ru-RU"/>
        </w:rPr>
        <w:t>(Ф.И.О.)</w:t>
      </w:r>
    </w:p>
    <w:p w:rsidR="00BA7285" w:rsidRPr="00BA7285" w:rsidRDefault="00BA7285" w:rsidP="00BA7285">
      <w:pPr>
        <w:tabs>
          <w:tab w:val="left" w:pos="8820"/>
        </w:tabs>
        <w:spacing w:after="0" w:line="240" w:lineRule="auto"/>
        <w:ind w:left="4956" w:right="818"/>
        <w:rPr>
          <w:rFonts w:ascii="Times New Roman" w:eastAsia="Times New Roman" w:hAnsi="Times New Roman" w:cs="Times New Roman"/>
          <w:sz w:val="28"/>
          <w:szCs w:val="28"/>
          <w:lang w:eastAsia="ru-RU"/>
        </w:rPr>
      </w:pPr>
    </w:p>
    <w:p w:rsidR="00BA7285" w:rsidRPr="00BA7285" w:rsidRDefault="00BA7285" w:rsidP="00BA7285">
      <w:pPr>
        <w:tabs>
          <w:tab w:val="left" w:pos="8820"/>
        </w:tabs>
        <w:spacing w:after="0" w:line="240" w:lineRule="auto"/>
        <w:ind w:left="4956" w:right="818"/>
        <w:rPr>
          <w:rFonts w:ascii="Times New Roman" w:eastAsia="Times New Roman" w:hAnsi="Times New Roman" w:cs="Times New Roman"/>
          <w:sz w:val="28"/>
          <w:szCs w:val="28"/>
          <w:lang w:eastAsia="ru-RU"/>
        </w:rPr>
      </w:pPr>
      <w:r w:rsidRPr="00BA7285">
        <w:rPr>
          <w:rFonts w:ascii="Times New Roman" w:eastAsia="Times New Roman" w:hAnsi="Times New Roman" w:cs="Times New Roman"/>
          <w:sz w:val="28"/>
          <w:szCs w:val="28"/>
          <w:lang w:eastAsia="ru-RU"/>
        </w:rPr>
        <w:t>Научный руководитель</w:t>
      </w:r>
    </w:p>
    <w:p w:rsidR="00BA7285" w:rsidRPr="00BA7285" w:rsidRDefault="00BA7285" w:rsidP="00BA7285">
      <w:pPr>
        <w:tabs>
          <w:tab w:val="left" w:pos="8820"/>
        </w:tabs>
        <w:spacing w:after="0" w:line="240" w:lineRule="auto"/>
        <w:ind w:left="4956" w:right="818"/>
        <w:rPr>
          <w:rFonts w:ascii="Times New Roman" w:eastAsia="Times New Roman" w:hAnsi="Times New Roman" w:cs="Times New Roman"/>
          <w:sz w:val="28"/>
          <w:szCs w:val="28"/>
          <w:lang w:eastAsia="ru-RU"/>
        </w:rPr>
      </w:pPr>
      <w:r w:rsidRPr="00BA7285">
        <w:rPr>
          <w:rFonts w:ascii="Times New Roman" w:eastAsia="Times New Roman" w:hAnsi="Times New Roman" w:cs="Times New Roman"/>
          <w:sz w:val="28"/>
          <w:szCs w:val="28"/>
          <w:lang w:eastAsia="ru-RU"/>
        </w:rPr>
        <w:t>Е.В. Ильин, к.э.</w:t>
      </w:r>
      <w:proofErr w:type="gramStart"/>
      <w:r w:rsidRPr="00BA7285">
        <w:rPr>
          <w:rFonts w:ascii="Times New Roman" w:eastAsia="Times New Roman" w:hAnsi="Times New Roman" w:cs="Times New Roman"/>
          <w:sz w:val="28"/>
          <w:szCs w:val="28"/>
          <w:lang w:eastAsia="ru-RU"/>
        </w:rPr>
        <w:t>н</w:t>
      </w:r>
      <w:proofErr w:type="gramEnd"/>
      <w:r w:rsidRPr="00BA7285">
        <w:rPr>
          <w:rFonts w:ascii="Times New Roman" w:eastAsia="Times New Roman" w:hAnsi="Times New Roman" w:cs="Times New Roman"/>
          <w:sz w:val="28"/>
          <w:szCs w:val="28"/>
          <w:lang w:eastAsia="ru-RU"/>
        </w:rPr>
        <w:t>.</w:t>
      </w:r>
    </w:p>
    <w:p w:rsidR="00BA7285" w:rsidRPr="00BA7285" w:rsidRDefault="00BA7285" w:rsidP="00BA7285">
      <w:pPr>
        <w:spacing w:after="0" w:line="240" w:lineRule="auto"/>
        <w:ind w:left="4956"/>
        <w:rPr>
          <w:rFonts w:ascii="Times New Roman" w:eastAsia="Times New Roman" w:hAnsi="Times New Roman" w:cs="Times New Roman"/>
          <w:sz w:val="20"/>
          <w:szCs w:val="20"/>
          <w:lang w:eastAsia="ru-RU"/>
        </w:rPr>
      </w:pPr>
      <w:r w:rsidRPr="00BA7285">
        <w:rPr>
          <w:rFonts w:ascii="Times New Roman" w:eastAsia="Times New Roman" w:hAnsi="Times New Roman" w:cs="Times New Roman"/>
          <w:sz w:val="20"/>
          <w:szCs w:val="20"/>
          <w:lang w:eastAsia="ru-RU"/>
        </w:rPr>
        <w:t>(должность, звание, Ф.И.О.)</w:t>
      </w:r>
    </w:p>
    <w:p w:rsidR="00BA7285" w:rsidRPr="00BA7285" w:rsidRDefault="00BA7285" w:rsidP="00BA7285">
      <w:pPr>
        <w:spacing w:after="0" w:line="240" w:lineRule="auto"/>
        <w:ind w:left="4956"/>
        <w:jc w:val="both"/>
        <w:rPr>
          <w:rFonts w:ascii="Times New Roman" w:eastAsia="Times New Roman" w:hAnsi="Times New Roman" w:cs="Times New Roman"/>
          <w:sz w:val="28"/>
          <w:szCs w:val="28"/>
          <w:lang w:eastAsia="ru-RU"/>
        </w:rPr>
      </w:pPr>
    </w:p>
    <w:p w:rsidR="00BA7285" w:rsidRPr="00BA7285" w:rsidRDefault="00BA7285" w:rsidP="00BA7285">
      <w:pPr>
        <w:tabs>
          <w:tab w:val="left" w:pos="8820"/>
        </w:tabs>
        <w:spacing w:after="0" w:line="240" w:lineRule="auto"/>
        <w:ind w:left="4956" w:right="818"/>
        <w:rPr>
          <w:rFonts w:ascii="Times New Roman" w:eastAsia="Times New Roman" w:hAnsi="Times New Roman" w:cs="Times New Roman"/>
          <w:sz w:val="28"/>
          <w:szCs w:val="28"/>
          <w:lang w:eastAsia="ru-RU"/>
        </w:rPr>
      </w:pPr>
      <w:r w:rsidRPr="00BA7285">
        <w:rPr>
          <w:rFonts w:ascii="Times New Roman" w:eastAsia="Times New Roman" w:hAnsi="Times New Roman" w:cs="Times New Roman"/>
          <w:sz w:val="28"/>
          <w:szCs w:val="28"/>
          <w:lang w:eastAsia="ru-RU"/>
        </w:rPr>
        <w:t>Консультант</w:t>
      </w:r>
    </w:p>
    <w:p w:rsidR="00BA7285" w:rsidRPr="00BA7285" w:rsidRDefault="00BA7285" w:rsidP="00BA7285">
      <w:pPr>
        <w:tabs>
          <w:tab w:val="left" w:pos="8820"/>
        </w:tabs>
        <w:spacing w:after="0" w:line="240" w:lineRule="auto"/>
        <w:ind w:left="4956" w:right="818"/>
        <w:rPr>
          <w:rFonts w:ascii="Times New Roman" w:eastAsia="Times New Roman" w:hAnsi="Times New Roman" w:cs="Times New Roman"/>
          <w:sz w:val="28"/>
          <w:szCs w:val="28"/>
          <w:lang w:eastAsia="ru-RU"/>
        </w:rPr>
      </w:pPr>
      <w:r w:rsidRPr="00BA7285">
        <w:rPr>
          <w:rFonts w:ascii="Times New Roman" w:eastAsia="Times New Roman" w:hAnsi="Times New Roman" w:cs="Times New Roman"/>
          <w:sz w:val="28"/>
          <w:szCs w:val="28"/>
          <w:lang w:eastAsia="ru-RU"/>
        </w:rPr>
        <w:t>Б.Б. Рубцов, д.э.</w:t>
      </w:r>
      <w:proofErr w:type="gramStart"/>
      <w:r w:rsidRPr="00BA7285">
        <w:rPr>
          <w:rFonts w:ascii="Times New Roman" w:eastAsia="Times New Roman" w:hAnsi="Times New Roman" w:cs="Times New Roman"/>
          <w:sz w:val="28"/>
          <w:szCs w:val="28"/>
          <w:lang w:eastAsia="ru-RU"/>
        </w:rPr>
        <w:t>н</w:t>
      </w:r>
      <w:proofErr w:type="gramEnd"/>
      <w:r w:rsidRPr="00BA7285">
        <w:rPr>
          <w:rFonts w:ascii="Times New Roman" w:eastAsia="Times New Roman" w:hAnsi="Times New Roman" w:cs="Times New Roman"/>
          <w:sz w:val="28"/>
          <w:szCs w:val="28"/>
          <w:lang w:eastAsia="ru-RU"/>
        </w:rPr>
        <w:t>.</w:t>
      </w:r>
    </w:p>
    <w:p w:rsidR="00BA7285" w:rsidRPr="00BA7285" w:rsidRDefault="00BA7285" w:rsidP="00BA7285">
      <w:pPr>
        <w:tabs>
          <w:tab w:val="left" w:pos="8820"/>
        </w:tabs>
        <w:spacing w:after="0" w:line="240" w:lineRule="auto"/>
        <w:ind w:left="4956" w:right="818"/>
        <w:rPr>
          <w:rFonts w:ascii="Times New Roman" w:eastAsia="Times New Roman" w:hAnsi="Times New Roman" w:cs="Times New Roman"/>
          <w:sz w:val="20"/>
          <w:szCs w:val="20"/>
          <w:lang w:eastAsia="ru-RU"/>
        </w:rPr>
      </w:pPr>
      <w:r w:rsidRPr="00BA7285">
        <w:rPr>
          <w:rFonts w:ascii="Times New Roman" w:eastAsia="Times New Roman" w:hAnsi="Times New Roman" w:cs="Times New Roman"/>
          <w:sz w:val="20"/>
          <w:szCs w:val="20"/>
          <w:lang w:eastAsia="ru-RU"/>
        </w:rPr>
        <w:t xml:space="preserve"> (должность, звание, Ф.И.О.)</w:t>
      </w:r>
    </w:p>
    <w:p w:rsidR="00BA7285" w:rsidRPr="00BA7285" w:rsidRDefault="00BA7285" w:rsidP="00BA7285">
      <w:pPr>
        <w:spacing w:after="0" w:line="240" w:lineRule="auto"/>
        <w:ind w:left="4956"/>
        <w:jc w:val="both"/>
        <w:rPr>
          <w:rFonts w:ascii="Times New Roman" w:eastAsia="Times New Roman" w:hAnsi="Times New Roman" w:cs="Times New Roman"/>
          <w:sz w:val="28"/>
          <w:szCs w:val="28"/>
          <w:lang w:eastAsia="ru-RU"/>
        </w:rPr>
      </w:pPr>
    </w:p>
    <w:p w:rsidR="00BA7285" w:rsidRPr="00BA7285" w:rsidRDefault="00BA7285" w:rsidP="00BA7285">
      <w:pPr>
        <w:spacing w:after="0" w:line="240" w:lineRule="auto"/>
        <w:jc w:val="both"/>
        <w:rPr>
          <w:rFonts w:ascii="Times New Roman" w:eastAsia="Times New Roman" w:hAnsi="Times New Roman" w:cs="Times New Roman"/>
          <w:sz w:val="28"/>
          <w:szCs w:val="28"/>
          <w:lang w:eastAsia="ru-RU"/>
        </w:rPr>
      </w:pPr>
    </w:p>
    <w:p w:rsidR="00BA7285" w:rsidRPr="00BA7285" w:rsidRDefault="00BA7285" w:rsidP="00BA7285">
      <w:pPr>
        <w:spacing w:after="0" w:line="240" w:lineRule="auto"/>
        <w:jc w:val="both"/>
        <w:rPr>
          <w:rFonts w:ascii="Times New Roman" w:eastAsia="Times New Roman" w:hAnsi="Times New Roman" w:cs="Times New Roman"/>
          <w:sz w:val="28"/>
          <w:szCs w:val="28"/>
          <w:lang w:eastAsia="ru-RU"/>
        </w:rPr>
      </w:pPr>
    </w:p>
    <w:p w:rsidR="00BA7285" w:rsidRPr="00BA7285" w:rsidRDefault="00BA7285" w:rsidP="00BA7285">
      <w:pPr>
        <w:spacing w:after="0" w:line="240" w:lineRule="auto"/>
        <w:jc w:val="both"/>
        <w:rPr>
          <w:rFonts w:ascii="Times New Roman" w:eastAsia="Times New Roman" w:hAnsi="Times New Roman" w:cs="Times New Roman"/>
          <w:sz w:val="28"/>
          <w:szCs w:val="28"/>
          <w:lang w:eastAsia="ru-RU"/>
        </w:rPr>
      </w:pPr>
    </w:p>
    <w:p w:rsidR="00BA7285" w:rsidRPr="00BA7285" w:rsidRDefault="00BA7285" w:rsidP="00BA7285">
      <w:pPr>
        <w:spacing w:after="0" w:line="240" w:lineRule="auto"/>
        <w:jc w:val="both"/>
        <w:rPr>
          <w:rFonts w:ascii="Times New Roman" w:eastAsia="Times New Roman" w:hAnsi="Times New Roman" w:cs="Times New Roman"/>
          <w:sz w:val="28"/>
          <w:szCs w:val="28"/>
          <w:lang w:eastAsia="ru-RU"/>
        </w:rPr>
      </w:pPr>
    </w:p>
    <w:p w:rsidR="00BA7285" w:rsidRPr="00BA7285" w:rsidRDefault="00BA7285" w:rsidP="00BA7285">
      <w:pPr>
        <w:spacing w:after="0" w:line="240" w:lineRule="auto"/>
        <w:jc w:val="both"/>
        <w:rPr>
          <w:rFonts w:ascii="Times New Roman" w:eastAsia="Times New Roman" w:hAnsi="Times New Roman" w:cs="Times New Roman"/>
          <w:sz w:val="28"/>
          <w:szCs w:val="28"/>
          <w:lang w:eastAsia="ru-RU"/>
        </w:rPr>
      </w:pPr>
    </w:p>
    <w:p w:rsidR="00BA7285" w:rsidRPr="00112165" w:rsidRDefault="00BA7285" w:rsidP="00BA728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A7285" w:rsidRPr="00112165" w:rsidRDefault="00BA7285" w:rsidP="00BA728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A7285" w:rsidRDefault="00BA7285" w:rsidP="00BA7285">
      <w:pPr>
        <w:autoSpaceDE w:val="0"/>
        <w:autoSpaceDN w:val="0"/>
        <w:adjustRightInd w:val="0"/>
        <w:spacing w:after="0" w:line="240" w:lineRule="auto"/>
        <w:jc w:val="center"/>
        <w:rPr>
          <w:rFonts w:ascii="Times New Roman" w:eastAsia="Times New Roman" w:hAnsi="Times New Roman" w:cs="Times New Roman"/>
          <w:b/>
          <w:sz w:val="28"/>
          <w:szCs w:val="28"/>
        </w:rPr>
      </w:pPr>
      <w:r w:rsidRPr="00BA7285">
        <w:rPr>
          <w:rFonts w:ascii="Times New Roman" w:eastAsia="Times New Roman" w:hAnsi="Times New Roman" w:cs="Times New Roman"/>
          <w:sz w:val="28"/>
          <w:szCs w:val="28"/>
          <w:lang w:eastAsia="ru-RU"/>
        </w:rPr>
        <w:t>Москва, 2013 г.</w:t>
      </w:r>
    </w:p>
    <w:p w:rsidR="00615F1B" w:rsidRPr="0075260E" w:rsidRDefault="00615F1B" w:rsidP="00615F1B">
      <w:pPr>
        <w:spacing w:after="0" w:line="360" w:lineRule="auto"/>
        <w:jc w:val="center"/>
        <w:rPr>
          <w:rFonts w:ascii="Times New Roman" w:eastAsia="Times New Roman" w:hAnsi="Times New Roman" w:cs="Times New Roman"/>
          <w:b/>
          <w:sz w:val="28"/>
          <w:szCs w:val="28"/>
        </w:rPr>
      </w:pPr>
      <w:r w:rsidRPr="0075260E">
        <w:rPr>
          <w:rFonts w:ascii="Times New Roman" w:eastAsia="Times New Roman" w:hAnsi="Times New Roman" w:cs="Times New Roman"/>
          <w:b/>
          <w:sz w:val="28"/>
          <w:szCs w:val="28"/>
        </w:rPr>
        <w:lastRenderedPageBreak/>
        <w:t>Оглавление</w:t>
      </w:r>
    </w:p>
    <w:p w:rsidR="00615F1B" w:rsidRPr="0075260E" w:rsidRDefault="00615F1B" w:rsidP="00615F1B">
      <w:pPr>
        <w:spacing w:after="0" w:line="360" w:lineRule="auto"/>
        <w:jc w:val="center"/>
        <w:rPr>
          <w:rFonts w:ascii="Times New Roman" w:eastAsia="Times New Roman" w:hAnsi="Times New Roman" w:cs="Times New Roman"/>
          <w:sz w:val="28"/>
          <w:szCs w:val="28"/>
        </w:rPr>
      </w:pPr>
    </w:p>
    <w:p w:rsidR="00615F1B" w:rsidRPr="0075260E" w:rsidRDefault="00615F1B" w:rsidP="00615F1B">
      <w:pPr>
        <w:spacing w:after="0" w:line="360" w:lineRule="auto"/>
        <w:jc w:val="both"/>
        <w:rPr>
          <w:rFonts w:ascii="Times New Roman" w:eastAsia="Times New Roman" w:hAnsi="Times New Roman" w:cs="Times New Roman"/>
          <w:sz w:val="28"/>
          <w:szCs w:val="28"/>
        </w:rPr>
      </w:pPr>
      <w:r w:rsidRPr="0075260E">
        <w:rPr>
          <w:rFonts w:ascii="Times New Roman" w:eastAsia="Times New Roman" w:hAnsi="Times New Roman" w:cs="Times New Roman"/>
          <w:sz w:val="28"/>
          <w:szCs w:val="28"/>
        </w:rPr>
        <w:t>Введение</w:t>
      </w:r>
    </w:p>
    <w:p w:rsidR="00615F1B" w:rsidRPr="0075260E" w:rsidRDefault="00615F1B" w:rsidP="00615F1B">
      <w:pPr>
        <w:spacing w:after="0" w:line="360" w:lineRule="auto"/>
        <w:jc w:val="both"/>
        <w:rPr>
          <w:rFonts w:ascii="Times New Roman" w:eastAsia="Times New Roman" w:hAnsi="Times New Roman" w:cs="Times New Roman"/>
          <w:sz w:val="28"/>
          <w:szCs w:val="28"/>
        </w:rPr>
      </w:pPr>
      <w:r w:rsidRPr="0075260E">
        <w:rPr>
          <w:rFonts w:ascii="Times New Roman" w:eastAsia="Times New Roman" w:hAnsi="Times New Roman" w:cs="Times New Roman"/>
          <w:sz w:val="28"/>
          <w:szCs w:val="28"/>
        </w:rPr>
        <w:t>Глава 1. Принципы регулирования финансового рынка Австралии</w:t>
      </w:r>
    </w:p>
    <w:p w:rsidR="00615F1B" w:rsidRPr="0075260E" w:rsidRDefault="00615F1B" w:rsidP="00615F1B">
      <w:pPr>
        <w:spacing w:after="0" w:line="360" w:lineRule="auto"/>
        <w:jc w:val="both"/>
        <w:rPr>
          <w:rFonts w:ascii="Times New Roman" w:eastAsia="Times New Roman" w:hAnsi="Times New Roman" w:cs="Times New Roman"/>
          <w:sz w:val="28"/>
          <w:szCs w:val="28"/>
        </w:rPr>
      </w:pPr>
      <w:r w:rsidRPr="0075260E">
        <w:rPr>
          <w:rFonts w:ascii="Times New Roman" w:eastAsia="Times New Roman" w:hAnsi="Times New Roman" w:cs="Times New Roman"/>
          <w:sz w:val="28"/>
          <w:szCs w:val="28"/>
        </w:rPr>
        <w:t>1.1. Устройство финансового рынка Австралии</w:t>
      </w:r>
    </w:p>
    <w:p w:rsidR="00615F1B" w:rsidRPr="0075260E" w:rsidRDefault="00615F1B" w:rsidP="00615F1B">
      <w:pPr>
        <w:spacing w:after="0" w:line="360" w:lineRule="auto"/>
        <w:jc w:val="both"/>
        <w:rPr>
          <w:rFonts w:ascii="Times New Roman" w:eastAsia="Times New Roman" w:hAnsi="Times New Roman" w:cs="Times New Roman"/>
          <w:sz w:val="28"/>
          <w:szCs w:val="28"/>
        </w:rPr>
      </w:pPr>
      <w:r w:rsidRPr="0075260E">
        <w:rPr>
          <w:rFonts w:ascii="Times New Roman" w:eastAsia="Times New Roman" w:hAnsi="Times New Roman" w:cs="Times New Roman"/>
          <w:sz w:val="28"/>
          <w:szCs w:val="28"/>
        </w:rPr>
        <w:t xml:space="preserve">1.2. Создание системы </w:t>
      </w:r>
      <w:proofErr w:type="spellStart"/>
      <w:r w:rsidRPr="0075260E">
        <w:rPr>
          <w:rFonts w:ascii="Times New Roman" w:eastAsia="Times New Roman" w:hAnsi="Times New Roman" w:cs="Times New Roman"/>
          <w:sz w:val="28"/>
          <w:szCs w:val="28"/>
        </w:rPr>
        <w:t>Twin</w:t>
      </w:r>
      <w:proofErr w:type="spellEnd"/>
      <w:r w:rsidRPr="0075260E">
        <w:rPr>
          <w:rFonts w:ascii="Times New Roman" w:eastAsia="Times New Roman" w:hAnsi="Times New Roman" w:cs="Times New Roman"/>
          <w:sz w:val="28"/>
          <w:szCs w:val="28"/>
        </w:rPr>
        <w:t xml:space="preserve"> </w:t>
      </w:r>
      <w:proofErr w:type="spellStart"/>
      <w:r w:rsidRPr="0075260E">
        <w:rPr>
          <w:rFonts w:ascii="Times New Roman" w:eastAsia="Times New Roman" w:hAnsi="Times New Roman" w:cs="Times New Roman"/>
          <w:sz w:val="28"/>
          <w:szCs w:val="28"/>
        </w:rPr>
        <w:t>Peaks</w:t>
      </w:r>
      <w:proofErr w:type="spellEnd"/>
      <w:r w:rsidRPr="0075260E">
        <w:rPr>
          <w:rFonts w:ascii="Times New Roman" w:eastAsia="Times New Roman" w:hAnsi="Times New Roman" w:cs="Times New Roman"/>
          <w:sz w:val="28"/>
          <w:szCs w:val="28"/>
        </w:rPr>
        <w:t xml:space="preserve"> </w:t>
      </w:r>
    </w:p>
    <w:p w:rsidR="00615F1B" w:rsidRPr="0075260E" w:rsidRDefault="00615F1B" w:rsidP="00615F1B">
      <w:pPr>
        <w:spacing w:after="0" w:line="360" w:lineRule="auto"/>
        <w:jc w:val="both"/>
        <w:rPr>
          <w:rFonts w:ascii="Times New Roman" w:eastAsia="Times New Roman" w:hAnsi="Times New Roman" w:cs="Times New Roman"/>
          <w:sz w:val="28"/>
          <w:szCs w:val="28"/>
        </w:rPr>
      </w:pPr>
      <w:r w:rsidRPr="0075260E">
        <w:rPr>
          <w:rFonts w:ascii="Times New Roman" w:eastAsia="Times New Roman" w:hAnsi="Times New Roman" w:cs="Times New Roman"/>
          <w:sz w:val="28"/>
          <w:szCs w:val="28"/>
        </w:rPr>
        <w:t xml:space="preserve">1.3. Структура финансового рынка до перехода к системе </w:t>
      </w:r>
      <w:proofErr w:type="spellStart"/>
      <w:r w:rsidRPr="0075260E">
        <w:rPr>
          <w:rFonts w:ascii="Times New Roman" w:eastAsia="Times New Roman" w:hAnsi="Times New Roman" w:cs="Times New Roman"/>
          <w:sz w:val="28"/>
          <w:szCs w:val="28"/>
        </w:rPr>
        <w:t>Twin</w:t>
      </w:r>
      <w:proofErr w:type="spellEnd"/>
      <w:r w:rsidRPr="0075260E">
        <w:rPr>
          <w:rFonts w:ascii="Times New Roman" w:eastAsia="Times New Roman" w:hAnsi="Times New Roman" w:cs="Times New Roman"/>
          <w:sz w:val="28"/>
          <w:szCs w:val="28"/>
        </w:rPr>
        <w:t xml:space="preserve"> </w:t>
      </w:r>
      <w:proofErr w:type="spellStart"/>
      <w:r w:rsidRPr="0075260E">
        <w:rPr>
          <w:rFonts w:ascii="Times New Roman" w:eastAsia="Times New Roman" w:hAnsi="Times New Roman" w:cs="Times New Roman"/>
          <w:sz w:val="28"/>
          <w:szCs w:val="28"/>
        </w:rPr>
        <w:t>Peaks</w:t>
      </w:r>
      <w:proofErr w:type="spellEnd"/>
    </w:p>
    <w:p w:rsidR="00615F1B" w:rsidRPr="0075260E" w:rsidRDefault="00615F1B" w:rsidP="00615F1B">
      <w:pPr>
        <w:spacing w:after="0" w:line="360" w:lineRule="auto"/>
        <w:jc w:val="both"/>
        <w:rPr>
          <w:rFonts w:ascii="Times New Roman" w:eastAsia="Times New Roman" w:hAnsi="Times New Roman" w:cs="Times New Roman"/>
          <w:sz w:val="28"/>
          <w:szCs w:val="28"/>
        </w:rPr>
      </w:pPr>
      <w:r w:rsidRPr="0075260E">
        <w:rPr>
          <w:rFonts w:ascii="Times New Roman" w:eastAsia="Times New Roman" w:hAnsi="Times New Roman" w:cs="Times New Roman"/>
          <w:sz w:val="28"/>
          <w:szCs w:val="28"/>
        </w:rPr>
        <w:t>1.4. Необходимость реформирования системы регулирования</w:t>
      </w:r>
    </w:p>
    <w:p w:rsidR="00615F1B" w:rsidRPr="0075260E" w:rsidRDefault="00615F1B" w:rsidP="00615F1B">
      <w:pPr>
        <w:spacing w:after="0" w:line="360" w:lineRule="auto"/>
        <w:jc w:val="both"/>
        <w:rPr>
          <w:rFonts w:ascii="Times New Roman" w:eastAsia="Times New Roman" w:hAnsi="Times New Roman" w:cs="Times New Roman"/>
          <w:sz w:val="28"/>
          <w:szCs w:val="28"/>
        </w:rPr>
      </w:pPr>
      <w:r w:rsidRPr="0075260E">
        <w:rPr>
          <w:rFonts w:ascii="Times New Roman" w:eastAsia="Times New Roman" w:hAnsi="Times New Roman" w:cs="Times New Roman"/>
          <w:sz w:val="28"/>
          <w:szCs w:val="28"/>
        </w:rPr>
        <w:t>1.5. Саморегулирование на австралийском рынке</w:t>
      </w:r>
    </w:p>
    <w:p w:rsidR="00615F1B" w:rsidRPr="0075260E" w:rsidRDefault="00615F1B" w:rsidP="00615F1B">
      <w:pPr>
        <w:spacing w:after="0" w:line="360" w:lineRule="auto"/>
        <w:jc w:val="both"/>
        <w:rPr>
          <w:rFonts w:ascii="Times New Roman" w:eastAsia="Times New Roman" w:hAnsi="Times New Roman" w:cs="Times New Roman"/>
          <w:sz w:val="28"/>
          <w:szCs w:val="28"/>
        </w:rPr>
      </w:pPr>
    </w:p>
    <w:p w:rsidR="00615F1B" w:rsidRPr="0075260E" w:rsidRDefault="00615F1B" w:rsidP="00615F1B">
      <w:pPr>
        <w:spacing w:after="0" w:line="360" w:lineRule="auto"/>
        <w:jc w:val="both"/>
        <w:rPr>
          <w:rFonts w:ascii="Times New Roman" w:eastAsia="Times New Roman" w:hAnsi="Times New Roman" w:cs="Times New Roman"/>
          <w:sz w:val="28"/>
          <w:szCs w:val="28"/>
        </w:rPr>
      </w:pPr>
      <w:r w:rsidRPr="0075260E">
        <w:rPr>
          <w:rFonts w:ascii="Times New Roman" w:eastAsia="Times New Roman" w:hAnsi="Times New Roman" w:cs="Times New Roman"/>
          <w:sz w:val="28"/>
          <w:szCs w:val="28"/>
        </w:rPr>
        <w:t xml:space="preserve">Глава 2. Организация австралийской системы </w:t>
      </w:r>
      <w:proofErr w:type="spellStart"/>
      <w:r w:rsidRPr="0075260E">
        <w:rPr>
          <w:rFonts w:ascii="Times New Roman" w:eastAsia="Times New Roman" w:hAnsi="Times New Roman" w:cs="Times New Roman"/>
          <w:sz w:val="28"/>
          <w:szCs w:val="28"/>
        </w:rPr>
        <w:t>Twin</w:t>
      </w:r>
      <w:proofErr w:type="spellEnd"/>
      <w:r w:rsidRPr="0075260E">
        <w:rPr>
          <w:rFonts w:ascii="Times New Roman" w:eastAsia="Times New Roman" w:hAnsi="Times New Roman" w:cs="Times New Roman"/>
          <w:sz w:val="28"/>
          <w:szCs w:val="28"/>
        </w:rPr>
        <w:t xml:space="preserve"> </w:t>
      </w:r>
      <w:proofErr w:type="spellStart"/>
      <w:r w:rsidRPr="0075260E">
        <w:rPr>
          <w:rFonts w:ascii="Times New Roman" w:eastAsia="Times New Roman" w:hAnsi="Times New Roman" w:cs="Times New Roman"/>
          <w:sz w:val="28"/>
          <w:szCs w:val="28"/>
        </w:rPr>
        <w:t>Peaks</w:t>
      </w:r>
      <w:proofErr w:type="spellEnd"/>
      <w:r w:rsidRPr="0075260E">
        <w:rPr>
          <w:rFonts w:ascii="Times New Roman" w:eastAsia="Times New Roman" w:hAnsi="Times New Roman" w:cs="Times New Roman"/>
          <w:sz w:val="28"/>
          <w:szCs w:val="28"/>
        </w:rPr>
        <w:t xml:space="preserve"> </w:t>
      </w:r>
    </w:p>
    <w:p w:rsidR="00615F1B" w:rsidRPr="0075260E" w:rsidRDefault="00615F1B" w:rsidP="00615F1B">
      <w:pPr>
        <w:spacing w:after="0" w:line="360" w:lineRule="auto"/>
        <w:jc w:val="both"/>
        <w:rPr>
          <w:rFonts w:ascii="Times New Roman" w:eastAsia="Times New Roman" w:hAnsi="Times New Roman" w:cs="Times New Roman"/>
          <w:sz w:val="28"/>
          <w:szCs w:val="28"/>
        </w:rPr>
      </w:pPr>
      <w:r w:rsidRPr="0075260E">
        <w:rPr>
          <w:rFonts w:ascii="Times New Roman" w:eastAsia="Times New Roman" w:hAnsi="Times New Roman" w:cs="Times New Roman"/>
          <w:sz w:val="28"/>
          <w:szCs w:val="28"/>
        </w:rPr>
        <w:t>2.1. Основные направления деятельности регулятивных органов</w:t>
      </w:r>
    </w:p>
    <w:p w:rsidR="00615F1B" w:rsidRPr="0075260E" w:rsidRDefault="00615F1B" w:rsidP="00615F1B">
      <w:pPr>
        <w:spacing w:after="0" w:line="360" w:lineRule="auto"/>
        <w:jc w:val="both"/>
        <w:rPr>
          <w:rFonts w:ascii="Times New Roman" w:eastAsia="Times New Roman" w:hAnsi="Times New Roman" w:cs="Times New Roman"/>
          <w:sz w:val="28"/>
          <w:szCs w:val="28"/>
        </w:rPr>
      </w:pPr>
      <w:r w:rsidRPr="0075260E">
        <w:rPr>
          <w:rFonts w:ascii="Times New Roman" w:eastAsia="Times New Roman" w:hAnsi="Times New Roman" w:cs="Times New Roman"/>
          <w:sz w:val="28"/>
          <w:szCs w:val="28"/>
        </w:rPr>
        <w:t>2.2. Деятельность Австралийской администрации регулирования с совещательным правом (APRA)</w:t>
      </w:r>
    </w:p>
    <w:p w:rsidR="00615F1B" w:rsidRPr="0075260E" w:rsidRDefault="00615F1B" w:rsidP="00615F1B">
      <w:pPr>
        <w:spacing w:after="0" w:line="360" w:lineRule="auto"/>
        <w:jc w:val="both"/>
        <w:rPr>
          <w:rFonts w:ascii="Times New Roman" w:eastAsia="Times New Roman" w:hAnsi="Times New Roman" w:cs="Times New Roman"/>
          <w:sz w:val="28"/>
          <w:szCs w:val="28"/>
        </w:rPr>
      </w:pPr>
      <w:r w:rsidRPr="0075260E">
        <w:rPr>
          <w:rFonts w:ascii="Times New Roman" w:eastAsia="Times New Roman" w:hAnsi="Times New Roman" w:cs="Times New Roman"/>
          <w:sz w:val="28"/>
          <w:szCs w:val="28"/>
        </w:rPr>
        <w:t>2.3. Работа Австралийской комиссии по ценным бумагам и инвестициям (ASIC)</w:t>
      </w:r>
    </w:p>
    <w:p w:rsidR="00615F1B" w:rsidRPr="0075260E" w:rsidRDefault="00615F1B" w:rsidP="00615F1B">
      <w:pPr>
        <w:spacing w:after="0" w:line="360" w:lineRule="auto"/>
        <w:jc w:val="both"/>
        <w:rPr>
          <w:rFonts w:ascii="Times New Roman" w:eastAsia="Times New Roman" w:hAnsi="Times New Roman" w:cs="Times New Roman"/>
          <w:sz w:val="28"/>
          <w:szCs w:val="28"/>
        </w:rPr>
      </w:pPr>
      <w:r w:rsidRPr="0075260E">
        <w:rPr>
          <w:rFonts w:ascii="Times New Roman" w:eastAsia="Times New Roman" w:hAnsi="Times New Roman" w:cs="Times New Roman"/>
          <w:sz w:val="28"/>
          <w:szCs w:val="28"/>
        </w:rPr>
        <w:t>2.4. Функции Резервного банка Австралии (</w:t>
      </w:r>
      <w:r w:rsidRPr="0075260E">
        <w:rPr>
          <w:rFonts w:ascii="Times New Roman" w:eastAsia="Times New Roman" w:hAnsi="Times New Roman" w:cs="Times New Roman"/>
          <w:sz w:val="28"/>
          <w:szCs w:val="28"/>
          <w:lang w:val="en-US"/>
        </w:rPr>
        <w:t>RBA</w:t>
      </w:r>
      <w:r w:rsidRPr="0075260E">
        <w:rPr>
          <w:rFonts w:ascii="Times New Roman" w:eastAsia="Times New Roman" w:hAnsi="Times New Roman" w:cs="Times New Roman"/>
          <w:sz w:val="28"/>
          <w:szCs w:val="28"/>
        </w:rPr>
        <w:t>)</w:t>
      </w:r>
    </w:p>
    <w:p w:rsidR="00615F1B" w:rsidRPr="0075260E" w:rsidRDefault="00615F1B" w:rsidP="00615F1B">
      <w:pPr>
        <w:spacing w:after="0" w:line="360" w:lineRule="auto"/>
        <w:jc w:val="both"/>
        <w:rPr>
          <w:rFonts w:ascii="Times New Roman" w:eastAsia="Times New Roman" w:hAnsi="Times New Roman" w:cs="Times New Roman"/>
          <w:sz w:val="28"/>
          <w:szCs w:val="28"/>
        </w:rPr>
      </w:pPr>
      <w:r w:rsidRPr="0075260E">
        <w:rPr>
          <w:rFonts w:ascii="Times New Roman" w:eastAsia="Times New Roman" w:hAnsi="Times New Roman" w:cs="Times New Roman"/>
          <w:sz w:val="28"/>
          <w:szCs w:val="28"/>
        </w:rPr>
        <w:t>2.5. Роль Казначейства в функционировании финансовой системы</w:t>
      </w:r>
    </w:p>
    <w:p w:rsidR="00615F1B" w:rsidRPr="0075260E" w:rsidRDefault="00615F1B" w:rsidP="00615F1B">
      <w:pPr>
        <w:spacing w:after="0" w:line="360" w:lineRule="auto"/>
        <w:jc w:val="both"/>
        <w:rPr>
          <w:rFonts w:ascii="Times New Roman" w:eastAsia="Times New Roman" w:hAnsi="Times New Roman" w:cs="Times New Roman"/>
          <w:sz w:val="28"/>
          <w:szCs w:val="28"/>
        </w:rPr>
      </w:pPr>
      <w:r w:rsidRPr="0075260E">
        <w:rPr>
          <w:rFonts w:ascii="Times New Roman" w:eastAsia="Times New Roman" w:hAnsi="Times New Roman" w:cs="Times New Roman"/>
          <w:sz w:val="28"/>
          <w:szCs w:val="28"/>
        </w:rPr>
        <w:t>2.6. Участие других организаций в финансовой системе Австралии</w:t>
      </w:r>
    </w:p>
    <w:p w:rsidR="00615F1B" w:rsidRPr="0075260E" w:rsidRDefault="00615F1B" w:rsidP="00615F1B">
      <w:pPr>
        <w:spacing w:after="0" w:line="360" w:lineRule="auto"/>
        <w:jc w:val="both"/>
        <w:rPr>
          <w:rFonts w:ascii="Times New Roman" w:eastAsia="Times New Roman" w:hAnsi="Times New Roman" w:cs="Times New Roman"/>
          <w:sz w:val="28"/>
          <w:szCs w:val="28"/>
        </w:rPr>
      </w:pPr>
    </w:p>
    <w:p w:rsidR="00615F1B" w:rsidRPr="0075260E" w:rsidRDefault="00615F1B" w:rsidP="00615F1B">
      <w:pPr>
        <w:spacing w:after="0" w:line="360" w:lineRule="auto"/>
        <w:jc w:val="both"/>
        <w:rPr>
          <w:rFonts w:ascii="Times New Roman" w:eastAsia="Times New Roman" w:hAnsi="Times New Roman" w:cs="Times New Roman"/>
          <w:sz w:val="28"/>
          <w:szCs w:val="28"/>
        </w:rPr>
      </w:pPr>
      <w:r w:rsidRPr="0075260E">
        <w:rPr>
          <w:rFonts w:ascii="Times New Roman" w:eastAsia="Times New Roman" w:hAnsi="Times New Roman" w:cs="Times New Roman"/>
          <w:sz w:val="28"/>
          <w:szCs w:val="28"/>
        </w:rPr>
        <w:t xml:space="preserve">Глава 3. Эффективность системы </w:t>
      </w:r>
      <w:r w:rsidRPr="0075260E">
        <w:rPr>
          <w:rFonts w:ascii="Times New Roman" w:eastAsia="Times New Roman" w:hAnsi="Times New Roman" w:cs="Times New Roman"/>
          <w:sz w:val="28"/>
          <w:szCs w:val="28"/>
          <w:lang w:val="en-US"/>
        </w:rPr>
        <w:t>Twin</w:t>
      </w:r>
      <w:r w:rsidRPr="0075260E">
        <w:rPr>
          <w:rFonts w:ascii="Times New Roman" w:eastAsia="Times New Roman" w:hAnsi="Times New Roman" w:cs="Times New Roman"/>
          <w:sz w:val="28"/>
          <w:szCs w:val="28"/>
        </w:rPr>
        <w:t xml:space="preserve"> </w:t>
      </w:r>
      <w:r w:rsidRPr="0075260E">
        <w:rPr>
          <w:rFonts w:ascii="Times New Roman" w:eastAsia="Times New Roman" w:hAnsi="Times New Roman" w:cs="Times New Roman"/>
          <w:sz w:val="28"/>
          <w:szCs w:val="28"/>
          <w:lang w:val="en-US"/>
        </w:rPr>
        <w:t>Peaks</w:t>
      </w:r>
      <w:r w:rsidRPr="0075260E">
        <w:rPr>
          <w:rFonts w:ascii="Times New Roman" w:eastAsia="Times New Roman" w:hAnsi="Times New Roman" w:cs="Times New Roman"/>
          <w:sz w:val="28"/>
          <w:szCs w:val="28"/>
        </w:rPr>
        <w:t xml:space="preserve"> и оценка поведения профучастников</w:t>
      </w:r>
    </w:p>
    <w:p w:rsidR="00615F1B" w:rsidRPr="0075260E" w:rsidRDefault="00615F1B" w:rsidP="00615F1B">
      <w:pPr>
        <w:spacing w:after="0" w:line="360" w:lineRule="auto"/>
        <w:jc w:val="both"/>
        <w:rPr>
          <w:rFonts w:ascii="Times New Roman" w:eastAsia="Times New Roman" w:hAnsi="Times New Roman" w:cs="Times New Roman"/>
          <w:sz w:val="28"/>
          <w:szCs w:val="28"/>
        </w:rPr>
      </w:pPr>
      <w:r w:rsidRPr="0075260E">
        <w:rPr>
          <w:rFonts w:ascii="Times New Roman" w:eastAsia="Times New Roman" w:hAnsi="Times New Roman" w:cs="Times New Roman"/>
          <w:sz w:val="28"/>
          <w:szCs w:val="28"/>
        </w:rPr>
        <w:t>3.1. Измерение информационной эффективности по Шеннону</w:t>
      </w:r>
    </w:p>
    <w:p w:rsidR="00615F1B" w:rsidRPr="0075260E" w:rsidRDefault="00615F1B" w:rsidP="00615F1B">
      <w:pPr>
        <w:spacing w:after="0" w:line="360" w:lineRule="auto"/>
        <w:jc w:val="both"/>
        <w:rPr>
          <w:rFonts w:ascii="Times New Roman" w:eastAsia="Times New Roman" w:hAnsi="Times New Roman" w:cs="Times New Roman"/>
          <w:sz w:val="28"/>
          <w:szCs w:val="28"/>
        </w:rPr>
      </w:pPr>
      <w:r w:rsidRPr="0075260E">
        <w:rPr>
          <w:rFonts w:ascii="Times New Roman" w:eastAsia="Times New Roman" w:hAnsi="Times New Roman" w:cs="Times New Roman"/>
          <w:sz w:val="28"/>
          <w:szCs w:val="28"/>
        </w:rPr>
        <w:t>3.2. Нахождение состояний неэффективности рынка по Кульбаку-Лейблеру</w:t>
      </w:r>
    </w:p>
    <w:p w:rsidR="00615F1B" w:rsidRPr="0075260E" w:rsidRDefault="00615F1B" w:rsidP="00615F1B">
      <w:pPr>
        <w:spacing w:after="0" w:line="360" w:lineRule="auto"/>
        <w:jc w:val="both"/>
        <w:rPr>
          <w:rFonts w:ascii="Times New Roman" w:eastAsia="Times New Roman" w:hAnsi="Times New Roman" w:cs="Times New Roman"/>
          <w:sz w:val="28"/>
          <w:szCs w:val="28"/>
        </w:rPr>
      </w:pPr>
      <w:r w:rsidRPr="0075260E">
        <w:rPr>
          <w:rFonts w:ascii="Times New Roman" w:eastAsia="Times New Roman" w:hAnsi="Times New Roman" w:cs="Times New Roman"/>
          <w:sz w:val="28"/>
          <w:szCs w:val="28"/>
        </w:rPr>
        <w:t>3.3. Выявление структуры индивидуальных предпочтений профучастников</w:t>
      </w:r>
    </w:p>
    <w:p w:rsidR="00615F1B" w:rsidRPr="0075260E" w:rsidRDefault="00615F1B" w:rsidP="00615F1B">
      <w:pPr>
        <w:spacing w:after="0" w:line="360" w:lineRule="auto"/>
        <w:jc w:val="both"/>
        <w:rPr>
          <w:rFonts w:ascii="Times New Roman" w:eastAsia="Times New Roman" w:hAnsi="Times New Roman" w:cs="Times New Roman"/>
          <w:sz w:val="28"/>
          <w:szCs w:val="28"/>
        </w:rPr>
      </w:pPr>
      <w:r w:rsidRPr="0075260E">
        <w:rPr>
          <w:rFonts w:ascii="Times New Roman" w:eastAsia="Times New Roman" w:hAnsi="Times New Roman" w:cs="Times New Roman"/>
          <w:sz w:val="28"/>
          <w:szCs w:val="28"/>
        </w:rPr>
        <w:t>3.4. Сравнение интервалов предпочтений профучастников в Австралии и США</w:t>
      </w:r>
    </w:p>
    <w:p w:rsidR="00615F1B" w:rsidRPr="0075260E" w:rsidRDefault="00615F1B" w:rsidP="00615F1B">
      <w:pPr>
        <w:spacing w:after="0" w:line="360" w:lineRule="auto"/>
        <w:jc w:val="both"/>
        <w:rPr>
          <w:rFonts w:ascii="Times New Roman" w:eastAsia="Times New Roman" w:hAnsi="Times New Roman" w:cs="Times New Roman"/>
          <w:sz w:val="28"/>
          <w:szCs w:val="28"/>
        </w:rPr>
      </w:pPr>
      <w:r w:rsidRPr="0075260E">
        <w:rPr>
          <w:rFonts w:ascii="Times New Roman" w:eastAsia="Times New Roman" w:hAnsi="Times New Roman" w:cs="Times New Roman"/>
          <w:sz w:val="28"/>
          <w:szCs w:val="28"/>
        </w:rPr>
        <w:t>Заключение</w:t>
      </w:r>
    </w:p>
    <w:p w:rsidR="00615F1B" w:rsidRPr="0075260E" w:rsidRDefault="00615F1B" w:rsidP="00615F1B">
      <w:pPr>
        <w:spacing w:after="0" w:line="360" w:lineRule="auto"/>
        <w:jc w:val="both"/>
        <w:rPr>
          <w:rFonts w:ascii="Times New Roman" w:eastAsia="Times New Roman" w:hAnsi="Times New Roman" w:cs="Times New Roman"/>
          <w:sz w:val="28"/>
          <w:szCs w:val="28"/>
        </w:rPr>
      </w:pPr>
      <w:r w:rsidRPr="0075260E">
        <w:rPr>
          <w:rFonts w:ascii="Times New Roman" w:eastAsia="Times New Roman" w:hAnsi="Times New Roman" w:cs="Times New Roman"/>
          <w:sz w:val="28"/>
          <w:szCs w:val="28"/>
        </w:rPr>
        <w:t>Список использованной литературы</w:t>
      </w:r>
    </w:p>
    <w:p w:rsidR="00615F1B" w:rsidRDefault="00615F1B" w:rsidP="00615F1B">
      <w:pPr>
        <w:spacing w:after="0" w:line="360" w:lineRule="auto"/>
        <w:jc w:val="both"/>
        <w:rPr>
          <w:rFonts w:ascii="Times New Roman" w:eastAsia="Times New Roman" w:hAnsi="Times New Roman" w:cs="Times New Roman"/>
          <w:sz w:val="28"/>
          <w:szCs w:val="28"/>
        </w:rPr>
      </w:pPr>
      <w:r w:rsidRPr="0075260E">
        <w:rPr>
          <w:rFonts w:ascii="Times New Roman" w:eastAsia="Times New Roman" w:hAnsi="Times New Roman" w:cs="Times New Roman"/>
          <w:sz w:val="28"/>
          <w:szCs w:val="28"/>
        </w:rPr>
        <w:t xml:space="preserve">Приложение </w:t>
      </w:r>
    </w:p>
    <w:p w:rsidR="00613ECE" w:rsidRPr="00204183" w:rsidRDefault="00314E98" w:rsidP="00204183">
      <w:pPr>
        <w:spacing w:line="360" w:lineRule="auto"/>
        <w:jc w:val="center"/>
        <w:rPr>
          <w:rFonts w:ascii="Times New Roman" w:hAnsi="Times New Roman" w:cs="Times New Roman"/>
          <w:b/>
          <w:sz w:val="32"/>
          <w:szCs w:val="32"/>
        </w:rPr>
      </w:pPr>
      <w:r w:rsidRPr="00204183">
        <w:rPr>
          <w:rFonts w:ascii="Times New Roman" w:hAnsi="Times New Roman" w:cs="Times New Roman"/>
          <w:b/>
          <w:sz w:val="32"/>
          <w:szCs w:val="32"/>
        </w:rPr>
        <w:lastRenderedPageBreak/>
        <w:t>Введение</w:t>
      </w:r>
    </w:p>
    <w:p w:rsidR="00A7106E" w:rsidRDefault="00A7106E" w:rsidP="00314E98">
      <w:pPr>
        <w:spacing w:line="360" w:lineRule="auto"/>
        <w:jc w:val="both"/>
        <w:rPr>
          <w:rFonts w:ascii="Times New Roman" w:hAnsi="Times New Roman" w:cs="Times New Roman"/>
          <w:sz w:val="28"/>
          <w:szCs w:val="28"/>
        </w:rPr>
      </w:pPr>
    </w:p>
    <w:p w:rsidR="0055510B" w:rsidRDefault="0055510B" w:rsidP="0055510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A7106E">
        <w:rPr>
          <w:rFonts w:ascii="Times New Roman" w:hAnsi="Times New Roman" w:cs="Times New Roman"/>
          <w:sz w:val="28"/>
          <w:szCs w:val="28"/>
        </w:rPr>
        <w:t xml:space="preserve">опросы пределов регулирующих полномочий саморегулируемых институтов рынка, а также возможного конфликта интересов между акционерами биржи и её членами </w:t>
      </w:r>
      <w:r>
        <w:rPr>
          <w:rFonts w:ascii="Times New Roman" w:hAnsi="Times New Roman" w:cs="Times New Roman"/>
          <w:sz w:val="28"/>
          <w:szCs w:val="28"/>
        </w:rPr>
        <w:t>в связи с масштабной сменой организационной формы фондовых бирж, осуществляющейся последние двадцать лет, стали особо значимыми</w:t>
      </w:r>
      <w:r w:rsidR="00A7106E">
        <w:rPr>
          <w:rFonts w:ascii="Times New Roman" w:hAnsi="Times New Roman" w:cs="Times New Roman"/>
          <w:sz w:val="28"/>
          <w:szCs w:val="28"/>
        </w:rPr>
        <w:t>.</w:t>
      </w:r>
      <w:r>
        <w:rPr>
          <w:rFonts w:ascii="Times New Roman" w:hAnsi="Times New Roman" w:cs="Times New Roman"/>
          <w:sz w:val="28"/>
          <w:szCs w:val="28"/>
        </w:rPr>
        <w:t xml:space="preserve"> Финансовый кризис 2008 года, начавшийся в стране, где саморегулируемые организации обладают широкими полномочиями, негативно повлиял на состояние многих экономик мира. В связи с этим большинство стран признали необходимость существенных изменений для модернизации систем регулирования финансовых рынков. В данном контексте тема исследования является </w:t>
      </w:r>
      <w:r w:rsidRPr="008B4408">
        <w:rPr>
          <w:rFonts w:ascii="Times New Roman" w:hAnsi="Times New Roman" w:cs="Times New Roman"/>
          <w:b/>
          <w:sz w:val="28"/>
          <w:szCs w:val="28"/>
        </w:rPr>
        <w:t>актуальной</w:t>
      </w:r>
      <w:r>
        <w:rPr>
          <w:rFonts w:ascii="Times New Roman" w:hAnsi="Times New Roman" w:cs="Times New Roman"/>
          <w:sz w:val="28"/>
          <w:szCs w:val="28"/>
        </w:rPr>
        <w:t xml:space="preserve">, так как Австралия – одна из немногих стран, которым удалось </w:t>
      </w:r>
      <w:r w:rsidRPr="008B4408">
        <w:rPr>
          <w:rFonts w:ascii="Times New Roman" w:hAnsi="Times New Roman" w:cs="Times New Roman"/>
          <w:sz w:val="28"/>
          <w:szCs w:val="28"/>
        </w:rPr>
        <w:t xml:space="preserve">избежать последствий мирового финансового кризиса благодаря </w:t>
      </w:r>
      <w:r>
        <w:rPr>
          <w:rFonts w:ascii="Times New Roman" w:hAnsi="Times New Roman" w:cs="Times New Roman"/>
          <w:sz w:val="28"/>
          <w:szCs w:val="28"/>
        </w:rPr>
        <w:t xml:space="preserve">нестандартной и </w:t>
      </w:r>
      <w:r w:rsidRPr="008B4408">
        <w:rPr>
          <w:rFonts w:ascii="Times New Roman" w:hAnsi="Times New Roman" w:cs="Times New Roman"/>
          <w:sz w:val="28"/>
          <w:szCs w:val="28"/>
        </w:rPr>
        <w:t>успешной системе финансового надзора</w:t>
      </w:r>
      <w:r>
        <w:rPr>
          <w:rFonts w:ascii="Times New Roman" w:hAnsi="Times New Roman" w:cs="Times New Roman"/>
          <w:sz w:val="28"/>
          <w:szCs w:val="28"/>
        </w:rPr>
        <w:t xml:space="preserve">. </w:t>
      </w:r>
    </w:p>
    <w:p w:rsidR="00103A8A" w:rsidRDefault="00DC0F73" w:rsidP="00DA039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Основная </w:t>
      </w:r>
      <w:r w:rsidRPr="00DC0F73">
        <w:rPr>
          <w:rFonts w:ascii="Times New Roman" w:hAnsi="Times New Roman" w:cs="Times New Roman"/>
          <w:b/>
          <w:sz w:val="28"/>
          <w:szCs w:val="28"/>
        </w:rPr>
        <w:t>гипотеза</w:t>
      </w:r>
      <w:r>
        <w:rPr>
          <w:rFonts w:ascii="Times New Roman" w:hAnsi="Times New Roman" w:cs="Times New Roman"/>
          <w:sz w:val="28"/>
          <w:szCs w:val="28"/>
        </w:rPr>
        <w:t xml:space="preserve"> работы заключается в </w:t>
      </w:r>
      <w:r w:rsidR="00103A8A">
        <w:rPr>
          <w:rFonts w:ascii="Times New Roman" w:hAnsi="Times New Roman" w:cs="Times New Roman"/>
          <w:sz w:val="28"/>
          <w:szCs w:val="28"/>
        </w:rPr>
        <w:t xml:space="preserve">том, что </w:t>
      </w:r>
      <w:r w:rsidR="00DA0396">
        <w:rPr>
          <w:rFonts w:ascii="Times New Roman" w:hAnsi="Times New Roman" w:cs="Times New Roman"/>
          <w:sz w:val="28"/>
          <w:szCs w:val="28"/>
        </w:rPr>
        <w:t xml:space="preserve">система </w:t>
      </w:r>
      <w:r w:rsidR="00DA0396">
        <w:rPr>
          <w:rFonts w:ascii="Times New Roman" w:hAnsi="Times New Roman" w:cs="Times New Roman"/>
          <w:sz w:val="28"/>
          <w:szCs w:val="28"/>
          <w:lang w:val="en-US"/>
        </w:rPr>
        <w:t>Twin</w:t>
      </w:r>
      <w:r w:rsidR="00DA0396" w:rsidRPr="00DA0396">
        <w:rPr>
          <w:rFonts w:ascii="Times New Roman" w:hAnsi="Times New Roman" w:cs="Times New Roman"/>
          <w:sz w:val="28"/>
          <w:szCs w:val="28"/>
        </w:rPr>
        <w:t xml:space="preserve"> </w:t>
      </w:r>
      <w:r w:rsidR="00DA0396">
        <w:rPr>
          <w:rFonts w:ascii="Times New Roman" w:hAnsi="Times New Roman" w:cs="Times New Roman"/>
          <w:sz w:val="28"/>
          <w:szCs w:val="28"/>
          <w:lang w:val="en-US"/>
        </w:rPr>
        <w:t>Peaks</w:t>
      </w:r>
      <w:r w:rsidR="00DA0396" w:rsidRPr="00DA0396">
        <w:rPr>
          <w:rFonts w:ascii="Times New Roman" w:hAnsi="Times New Roman" w:cs="Times New Roman"/>
          <w:sz w:val="28"/>
          <w:szCs w:val="28"/>
        </w:rPr>
        <w:t xml:space="preserve"> </w:t>
      </w:r>
      <w:r w:rsidR="00DA0396">
        <w:rPr>
          <w:rFonts w:ascii="Times New Roman" w:hAnsi="Times New Roman" w:cs="Times New Roman"/>
          <w:sz w:val="28"/>
          <w:szCs w:val="28"/>
        </w:rPr>
        <w:t xml:space="preserve">способствует ситуации, когда профучастники предпочитают более эффективные состояния рынка, что </w:t>
      </w:r>
      <w:r w:rsidR="00FB34B2">
        <w:rPr>
          <w:rFonts w:ascii="Times New Roman" w:hAnsi="Times New Roman" w:cs="Times New Roman"/>
          <w:sz w:val="28"/>
          <w:szCs w:val="28"/>
        </w:rPr>
        <w:t>помогает снизить</w:t>
      </w:r>
      <w:r w:rsidR="00103A8A">
        <w:rPr>
          <w:rFonts w:ascii="Times New Roman" w:hAnsi="Times New Roman" w:cs="Times New Roman"/>
          <w:sz w:val="28"/>
          <w:szCs w:val="28"/>
        </w:rPr>
        <w:t xml:space="preserve"> глубину конфликта интересов. </w:t>
      </w:r>
    </w:p>
    <w:p w:rsidR="002D5C41" w:rsidRDefault="0080665F" w:rsidP="0055510B">
      <w:pPr>
        <w:spacing w:line="360" w:lineRule="auto"/>
        <w:ind w:firstLine="708"/>
        <w:jc w:val="both"/>
        <w:rPr>
          <w:rFonts w:ascii="Times New Roman" w:hAnsi="Times New Roman" w:cs="Times New Roman"/>
          <w:sz w:val="28"/>
          <w:szCs w:val="28"/>
        </w:rPr>
      </w:pPr>
      <w:r w:rsidRPr="002D5C41">
        <w:rPr>
          <w:rFonts w:ascii="Times New Roman" w:hAnsi="Times New Roman" w:cs="Times New Roman"/>
          <w:b/>
          <w:sz w:val="28"/>
          <w:szCs w:val="28"/>
        </w:rPr>
        <w:t>Объектом</w:t>
      </w:r>
      <w:r>
        <w:rPr>
          <w:rFonts w:ascii="Times New Roman" w:hAnsi="Times New Roman" w:cs="Times New Roman"/>
          <w:sz w:val="28"/>
          <w:szCs w:val="28"/>
        </w:rPr>
        <w:t xml:space="preserve"> исследования </w:t>
      </w:r>
      <w:r w:rsidR="002D5C41">
        <w:rPr>
          <w:rFonts w:ascii="Times New Roman" w:hAnsi="Times New Roman" w:cs="Times New Roman"/>
          <w:sz w:val="28"/>
          <w:szCs w:val="28"/>
        </w:rPr>
        <w:t>являе</w:t>
      </w:r>
      <w:r>
        <w:rPr>
          <w:rFonts w:ascii="Times New Roman" w:hAnsi="Times New Roman" w:cs="Times New Roman"/>
          <w:sz w:val="28"/>
          <w:szCs w:val="28"/>
        </w:rPr>
        <w:t xml:space="preserve">тся </w:t>
      </w:r>
      <w:r w:rsidR="002D5C41">
        <w:rPr>
          <w:rFonts w:ascii="Times New Roman" w:hAnsi="Times New Roman" w:cs="Times New Roman"/>
          <w:sz w:val="28"/>
          <w:szCs w:val="28"/>
        </w:rPr>
        <w:t xml:space="preserve">австралийская система финансового регулирования, заключающаяся в </w:t>
      </w:r>
      <w:r w:rsidR="002D5C41" w:rsidRPr="002D5C41">
        <w:rPr>
          <w:rFonts w:ascii="Times New Roman" w:hAnsi="Times New Roman" w:cs="Times New Roman"/>
          <w:sz w:val="28"/>
          <w:szCs w:val="28"/>
        </w:rPr>
        <w:t>тесном взаимодействии национальных суверенных регуляторов с саморегулируемыми организациями, сфера деятельности которых четко определена и контролируется.</w:t>
      </w:r>
      <w:r w:rsidR="002D5C41">
        <w:rPr>
          <w:rFonts w:ascii="Times New Roman" w:hAnsi="Times New Roman" w:cs="Times New Roman"/>
          <w:sz w:val="28"/>
          <w:szCs w:val="28"/>
        </w:rPr>
        <w:t xml:space="preserve"> </w:t>
      </w:r>
      <w:r w:rsidR="00766690">
        <w:rPr>
          <w:rFonts w:ascii="Times New Roman" w:hAnsi="Times New Roman" w:cs="Times New Roman"/>
          <w:sz w:val="28"/>
          <w:szCs w:val="28"/>
        </w:rPr>
        <w:t xml:space="preserve">Поведение профессиональных участников рынка, определяющееся спецификой применяемого подхода к регулированию, является </w:t>
      </w:r>
      <w:r w:rsidR="00766690" w:rsidRPr="00766690">
        <w:rPr>
          <w:rFonts w:ascii="Times New Roman" w:hAnsi="Times New Roman" w:cs="Times New Roman"/>
          <w:b/>
          <w:sz w:val="28"/>
          <w:szCs w:val="28"/>
        </w:rPr>
        <w:t>предметом</w:t>
      </w:r>
      <w:r w:rsidR="00766690">
        <w:rPr>
          <w:rFonts w:ascii="Times New Roman" w:hAnsi="Times New Roman" w:cs="Times New Roman"/>
          <w:sz w:val="28"/>
          <w:szCs w:val="28"/>
        </w:rPr>
        <w:t xml:space="preserve"> исследования. </w:t>
      </w:r>
    </w:p>
    <w:p w:rsidR="007D3082" w:rsidRDefault="005C5FA8" w:rsidP="0055510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Выявление особенностей си</w:t>
      </w:r>
      <w:r w:rsidR="00DE7D80">
        <w:rPr>
          <w:rFonts w:ascii="Times New Roman" w:hAnsi="Times New Roman" w:cs="Times New Roman"/>
          <w:sz w:val="28"/>
          <w:szCs w:val="28"/>
        </w:rPr>
        <w:t xml:space="preserve">стемы финансового надзора Австралии в контексте </w:t>
      </w:r>
      <w:r>
        <w:rPr>
          <w:rFonts w:ascii="Times New Roman" w:hAnsi="Times New Roman" w:cs="Times New Roman"/>
          <w:sz w:val="28"/>
          <w:szCs w:val="28"/>
        </w:rPr>
        <w:t>оценк</w:t>
      </w:r>
      <w:r w:rsidR="00DE7D80">
        <w:rPr>
          <w:rFonts w:ascii="Times New Roman" w:hAnsi="Times New Roman" w:cs="Times New Roman"/>
          <w:sz w:val="28"/>
          <w:szCs w:val="28"/>
        </w:rPr>
        <w:t xml:space="preserve">и поведения профучастников </w:t>
      </w:r>
      <w:r w:rsidR="007D3082">
        <w:rPr>
          <w:rFonts w:ascii="Times New Roman" w:hAnsi="Times New Roman" w:cs="Times New Roman"/>
          <w:sz w:val="28"/>
          <w:szCs w:val="28"/>
        </w:rPr>
        <w:t xml:space="preserve">составляет </w:t>
      </w:r>
      <w:r w:rsidR="007D3082" w:rsidRPr="0031249A">
        <w:rPr>
          <w:rFonts w:ascii="Times New Roman" w:hAnsi="Times New Roman" w:cs="Times New Roman"/>
          <w:b/>
          <w:sz w:val="28"/>
          <w:szCs w:val="28"/>
        </w:rPr>
        <w:t>цель</w:t>
      </w:r>
      <w:r w:rsidR="007D3082">
        <w:rPr>
          <w:rFonts w:ascii="Times New Roman" w:hAnsi="Times New Roman" w:cs="Times New Roman"/>
          <w:sz w:val="28"/>
          <w:szCs w:val="28"/>
        </w:rPr>
        <w:t xml:space="preserve"> работы</w:t>
      </w:r>
      <w:r w:rsidR="00DE7D80">
        <w:rPr>
          <w:rFonts w:ascii="Times New Roman" w:hAnsi="Times New Roman" w:cs="Times New Roman"/>
          <w:sz w:val="28"/>
          <w:szCs w:val="28"/>
        </w:rPr>
        <w:t xml:space="preserve">. </w:t>
      </w:r>
      <w:r w:rsidR="0031249A">
        <w:rPr>
          <w:rFonts w:ascii="Times New Roman" w:hAnsi="Times New Roman" w:cs="Times New Roman"/>
          <w:sz w:val="28"/>
          <w:szCs w:val="28"/>
        </w:rPr>
        <w:t xml:space="preserve">В соответствии с целью исследования, следующие </w:t>
      </w:r>
      <w:r w:rsidR="0031249A" w:rsidRPr="00F91E8A">
        <w:rPr>
          <w:rFonts w:ascii="Times New Roman" w:hAnsi="Times New Roman" w:cs="Times New Roman"/>
          <w:b/>
          <w:sz w:val="28"/>
          <w:szCs w:val="28"/>
        </w:rPr>
        <w:t>задачи</w:t>
      </w:r>
      <w:r w:rsidR="0031249A">
        <w:rPr>
          <w:rFonts w:ascii="Times New Roman" w:hAnsi="Times New Roman" w:cs="Times New Roman"/>
          <w:sz w:val="28"/>
          <w:szCs w:val="28"/>
        </w:rPr>
        <w:t xml:space="preserve"> были поставлены:</w:t>
      </w:r>
    </w:p>
    <w:p w:rsidR="00F509FE" w:rsidRDefault="00F509FE" w:rsidP="0031249A">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изучить устройство и систему регулирования финансового рынка Австралии</w:t>
      </w:r>
      <w:r w:rsidRPr="00F509FE">
        <w:rPr>
          <w:rFonts w:ascii="Times New Roman" w:hAnsi="Times New Roman" w:cs="Times New Roman"/>
          <w:sz w:val="28"/>
          <w:szCs w:val="28"/>
        </w:rPr>
        <w:t>;</w:t>
      </w:r>
    </w:p>
    <w:p w:rsidR="00F509FE" w:rsidRDefault="00F509FE" w:rsidP="0031249A">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оценить эффективность </w:t>
      </w:r>
      <w:r w:rsidR="00E01B46">
        <w:rPr>
          <w:rFonts w:ascii="Times New Roman" w:hAnsi="Times New Roman" w:cs="Times New Roman"/>
          <w:sz w:val="28"/>
          <w:szCs w:val="28"/>
        </w:rPr>
        <w:t xml:space="preserve">австралийской </w:t>
      </w:r>
      <w:r>
        <w:rPr>
          <w:rFonts w:ascii="Times New Roman" w:hAnsi="Times New Roman" w:cs="Times New Roman"/>
          <w:sz w:val="28"/>
          <w:szCs w:val="28"/>
        </w:rPr>
        <w:t xml:space="preserve">системы </w:t>
      </w:r>
      <w:r>
        <w:rPr>
          <w:rFonts w:ascii="Times New Roman" w:hAnsi="Times New Roman" w:cs="Times New Roman"/>
          <w:sz w:val="28"/>
          <w:szCs w:val="28"/>
          <w:lang w:val="en-US"/>
        </w:rPr>
        <w:t>Twin</w:t>
      </w:r>
      <w:r w:rsidRPr="00F509FE">
        <w:rPr>
          <w:rFonts w:ascii="Times New Roman" w:hAnsi="Times New Roman" w:cs="Times New Roman"/>
          <w:sz w:val="28"/>
          <w:szCs w:val="28"/>
        </w:rPr>
        <w:t xml:space="preserve"> </w:t>
      </w:r>
      <w:r>
        <w:rPr>
          <w:rFonts w:ascii="Times New Roman" w:hAnsi="Times New Roman" w:cs="Times New Roman"/>
          <w:sz w:val="28"/>
          <w:szCs w:val="28"/>
          <w:lang w:val="en-US"/>
        </w:rPr>
        <w:t>Peaks</w:t>
      </w:r>
      <w:r w:rsidRPr="00F509FE">
        <w:rPr>
          <w:rFonts w:ascii="Times New Roman" w:hAnsi="Times New Roman" w:cs="Times New Roman"/>
          <w:sz w:val="28"/>
          <w:szCs w:val="28"/>
        </w:rPr>
        <w:t>;</w:t>
      </w:r>
    </w:p>
    <w:p w:rsidR="003A079E" w:rsidRDefault="003A079E" w:rsidP="0031249A">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выявить структуру индивидуальных предпочтений профучастников</w:t>
      </w:r>
      <w:r w:rsidRPr="003A079E">
        <w:rPr>
          <w:rFonts w:ascii="Times New Roman" w:hAnsi="Times New Roman" w:cs="Times New Roman"/>
          <w:sz w:val="28"/>
          <w:szCs w:val="28"/>
        </w:rPr>
        <w:t>;</w:t>
      </w:r>
    </w:p>
    <w:p w:rsidR="00F509FE" w:rsidRDefault="003A079E" w:rsidP="003A079E">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оценить предпочтения неэффективности рынка профучастников</w:t>
      </w:r>
      <w:r w:rsidRPr="00BA7CF1">
        <w:rPr>
          <w:rFonts w:ascii="Times New Roman" w:hAnsi="Times New Roman" w:cs="Times New Roman"/>
          <w:sz w:val="28"/>
          <w:szCs w:val="28"/>
        </w:rPr>
        <w:t>;</w:t>
      </w:r>
      <w:r>
        <w:rPr>
          <w:rFonts w:ascii="Times New Roman" w:hAnsi="Times New Roman" w:cs="Times New Roman"/>
          <w:sz w:val="28"/>
          <w:szCs w:val="28"/>
        </w:rPr>
        <w:t xml:space="preserve"> </w:t>
      </w:r>
    </w:p>
    <w:p w:rsidR="00C242B4" w:rsidRDefault="00C242B4" w:rsidP="003A079E">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сравнить модель </w:t>
      </w:r>
      <w:r>
        <w:rPr>
          <w:rFonts w:ascii="Times New Roman" w:hAnsi="Times New Roman" w:cs="Times New Roman"/>
          <w:sz w:val="28"/>
          <w:szCs w:val="28"/>
          <w:lang w:val="en-US"/>
        </w:rPr>
        <w:t>Twin</w:t>
      </w:r>
      <w:r w:rsidRPr="00C242B4">
        <w:rPr>
          <w:rFonts w:ascii="Times New Roman" w:hAnsi="Times New Roman" w:cs="Times New Roman"/>
          <w:sz w:val="28"/>
          <w:szCs w:val="28"/>
        </w:rPr>
        <w:t xml:space="preserve"> </w:t>
      </w:r>
      <w:r>
        <w:rPr>
          <w:rFonts w:ascii="Times New Roman" w:hAnsi="Times New Roman" w:cs="Times New Roman"/>
          <w:sz w:val="28"/>
          <w:szCs w:val="28"/>
          <w:lang w:val="en-US"/>
        </w:rPr>
        <w:t>Peaks</w:t>
      </w:r>
      <w:r w:rsidRPr="00C242B4">
        <w:rPr>
          <w:rFonts w:ascii="Times New Roman" w:hAnsi="Times New Roman" w:cs="Times New Roman"/>
          <w:sz w:val="28"/>
          <w:szCs w:val="28"/>
        </w:rPr>
        <w:t xml:space="preserve"> </w:t>
      </w:r>
      <w:r>
        <w:rPr>
          <w:rFonts w:ascii="Times New Roman" w:hAnsi="Times New Roman" w:cs="Times New Roman"/>
          <w:sz w:val="28"/>
          <w:szCs w:val="28"/>
        </w:rPr>
        <w:t>с системой финансового регулирования Соединенных Штатов Америки.</w:t>
      </w:r>
    </w:p>
    <w:p w:rsidR="00C242B4" w:rsidRDefault="0011383F" w:rsidP="0011383F">
      <w:pPr>
        <w:spacing w:line="360" w:lineRule="auto"/>
        <w:ind w:firstLine="708"/>
        <w:jc w:val="both"/>
        <w:rPr>
          <w:rFonts w:ascii="Times New Roman" w:hAnsi="Times New Roman"/>
          <w:sz w:val="28"/>
          <w:szCs w:val="28"/>
        </w:rPr>
      </w:pPr>
      <w:r>
        <w:rPr>
          <w:rFonts w:ascii="Times New Roman" w:hAnsi="Times New Roman" w:cs="Times New Roman"/>
          <w:sz w:val="28"/>
          <w:szCs w:val="28"/>
        </w:rPr>
        <w:t xml:space="preserve">К основным </w:t>
      </w:r>
      <w:r w:rsidRPr="009D1AB4">
        <w:rPr>
          <w:rFonts w:ascii="Times New Roman" w:hAnsi="Times New Roman" w:cs="Times New Roman"/>
          <w:b/>
          <w:sz w:val="28"/>
          <w:szCs w:val="28"/>
        </w:rPr>
        <w:t>источникам</w:t>
      </w:r>
      <w:r>
        <w:rPr>
          <w:rFonts w:ascii="Times New Roman" w:hAnsi="Times New Roman" w:cs="Times New Roman"/>
          <w:sz w:val="28"/>
          <w:szCs w:val="28"/>
        </w:rPr>
        <w:t xml:space="preserve"> работы относятся </w:t>
      </w:r>
      <w:r w:rsidR="009D1AB4">
        <w:rPr>
          <w:rFonts w:ascii="Times New Roman" w:hAnsi="Times New Roman" w:cs="Times New Roman"/>
          <w:sz w:val="28"/>
          <w:szCs w:val="28"/>
        </w:rPr>
        <w:t xml:space="preserve">исследования по вопросам финансового регулирования, экономические статьи о саморегулировании финансового рынка и о видах юридических систем, </w:t>
      </w:r>
      <w:r>
        <w:rPr>
          <w:rFonts w:ascii="Times New Roman" w:hAnsi="Times New Roman" w:cs="Times New Roman"/>
          <w:sz w:val="28"/>
          <w:szCs w:val="28"/>
        </w:rPr>
        <w:t xml:space="preserve">а также отчеты, публикуемые суверенными регуляторами: </w:t>
      </w:r>
      <w:r>
        <w:rPr>
          <w:rFonts w:ascii="Times New Roman" w:hAnsi="Times New Roman"/>
          <w:sz w:val="28"/>
          <w:szCs w:val="28"/>
        </w:rPr>
        <w:t>Австралийской администрацией</w:t>
      </w:r>
      <w:r w:rsidRPr="001D477C">
        <w:rPr>
          <w:rFonts w:ascii="Times New Roman" w:hAnsi="Times New Roman"/>
          <w:sz w:val="28"/>
          <w:szCs w:val="28"/>
        </w:rPr>
        <w:t xml:space="preserve"> регулирования с совещательным правом</w:t>
      </w:r>
      <w:r w:rsidR="00470D54">
        <w:rPr>
          <w:rFonts w:ascii="Times New Roman" w:hAnsi="Times New Roman"/>
          <w:sz w:val="28"/>
          <w:szCs w:val="28"/>
        </w:rPr>
        <w:t xml:space="preserve">  и </w:t>
      </w:r>
      <w:r>
        <w:rPr>
          <w:rFonts w:ascii="Times New Roman" w:hAnsi="Times New Roman"/>
          <w:sz w:val="28"/>
          <w:szCs w:val="28"/>
        </w:rPr>
        <w:t>Австралийской комиссией</w:t>
      </w:r>
      <w:r w:rsidRPr="001D477C">
        <w:rPr>
          <w:rFonts w:ascii="Times New Roman" w:hAnsi="Times New Roman"/>
          <w:sz w:val="28"/>
          <w:szCs w:val="28"/>
        </w:rPr>
        <w:t xml:space="preserve"> по ценным бумагам и инвестициям</w:t>
      </w:r>
      <w:r>
        <w:rPr>
          <w:rFonts w:ascii="Times New Roman" w:hAnsi="Times New Roman"/>
          <w:sz w:val="28"/>
          <w:szCs w:val="28"/>
        </w:rPr>
        <w:t xml:space="preserve">.  </w:t>
      </w:r>
      <w:r w:rsidR="00C648E1" w:rsidRPr="00E75BDA">
        <w:rPr>
          <w:rFonts w:ascii="Times New Roman" w:hAnsi="Times New Roman"/>
          <w:b/>
          <w:sz w:val="28"/>
          <w:szCs w:val="28"/>
        </w:rPr>
        <w:t>Базы данных</w:t>
      </w:r>
      <w:r w:rsidR="00C648E1">
        <w:rPr>
          <w:rFonts w:ascii="Times New Roman" w:hAnsi="Times New Roman"/>
          <w:sz w:val="28"/>
          <w:szCs w:val="28"/>
        </w:rPr>
        <w:t xml:space="preserve"> по национальным фондовым индексам и взаимным фондам были предоставлены компанией </w:t>
      </w:r>
      <w:r w:rsidR="00C648E1">
        <w:rPr>
          <w:rFonts w:ascii="Times New Roman" w:hAnsi="Times New Roman"/>
          <w:sz w:val="28"/>
          <w:szCs w:val="28"/>
          <w:lang w:val="en-US"/>
        </w:rPr>
        <w:t>Bloomberg</w:t>
      </w:r>
      <w:r w:rsidR="00C648E1" w:rsidRPr="00C648E1">
        <w:rPr>
          <w:rFonts w:ascii="Times New Roman" w:hAnsi="Times New Roman"/>
          <w:sz w:val="28"/>
          <w:szCs w:val="28"/>
        </w:rPr>
        <w:t xml:space="preserve">. </w:t>
      </w:r>
    </w:p>
    <w:p w:rsidR="0093322B" w:rsidRDefault="0093322B">
      <w:pPr>
        <w:rPr>
          <w:rFonts w:ascii="Times New Roman" w:hAnsi="Times New Roman" w:cs="Times New Roman"/>
          <w:sz w:val="28"/>
          <w:szCs w:val="28"/>
        </w:rPr>
      </w:pPr>
      <w:r>
        <w:rPr>
          <w:rFonts w:ascii="Times New Roman" w:hAnsi="Times New Roman" w:cs="Times New Roman"/>
          <w:sz w:val="28"/>
          <w:szCs w:val="28"/>
        </w:rPr>
        <w:br w:type="page"/>
      </w:r>
    </w:p>
    <w:p w:rsidR="00986F2F" w:rsidRDefault="00986F2F" w:rsidP="00986F2F">
      <w:pPr>
        <w:spacing w:line="360" w:lineRule="auto"/>
        <w:jc w:val="center"/>
        <w:rPr>
          <w:rFonts w:ascii="Times New Roman" w:hAnsi="Times New Roman"/>
          <w:b/>
          <w:sz w:val="32"/>
          <w:szCs w:val="32"/>
        </w:rPr>
      </w:pPr>
      <w:r>
        <w:rPr>
          <w:rFonts w:ascii="Times New Roman" w:hAnsi="Times New Roman"/>
          <w:b/>
          <w:sz w:val="32"/>
          <w:szCs w:val="32"/>
        </w:rPr>
        <w:lastRenderedPageBreak/>
        <w:t>Глава 1. Принципы регулирования финансового рынка Австралии</w:t>
      </w:r>
    </w:p>
    <w:p w:rsidR="00986F2F" w:rsidRDefault="00986F2F" w:rsidP="00986F2F">
      <w:pPr>
        <w:spacing w:line="360" w:lineRule="auto"/>
        <w:ind w:firstLine="708"/>
        <w:jc w:val="both"/>
        <w:rPr>
          <w:rFonts w:ascii="Times New Roman" w:hAnsi="Times New Roman"/>
          <w:sz w:val="28"/>
          <w:szCs w:val="28"/>
        </w:rPr>
      </w:pPr>
      <w:r>
        <w:rPr>
          <w:rFonts w:ascii="Times New Roman" w:hAnsi="Times New Roman"/>
          <w:sz w:val="28"/>
          <w:szCs w:val="28"/>
        </w:rPr>
        <w:t xml:space="preserve">Австралия – это одна из развитых стран, </w:t>
      </w:r>
      <w:proofErr w:type="gramStart"/>
      <w:r>
        <w:rPr>
          <w:rFonts w:ascii="Times New Roman" w:hAnsi="Times New Roman"/>
          <w:sz w:val="28"/>
          <w:szCs w:val="28"/>
        </w:rPr>
        <w:t>экономика</w:t>
      </w:r>
      <w:proofErr w:type="gramEnd"/>
      <w:r>
        <w:rPr>
          <w:rFonts w:ascii="Times New Roman" w:hAnsi="Times New Roman"/>
          <w:sz w:val="28"/>
          <w:szCs w:val="28"/>
        </w:rPr>
        <w:t xml:space="preserve"> которой характеризуется сравнительно высокими темпами роста, низкой инфляцией и надежными политическими и экономическими институтами. Государство в настоящее время является тринадцатой экономикой в мире и третьей в Азиатско-Тихоокеанском регионе по размеру валового внутреннего продукта.</w:t>
      </w:r>
    </w:p>
    <w:p w:rsidR="00986F2F" w:rsidRDefault="00986F2F" w:rsidP="00986F2F">
      <w:pPr>
        <w:spacing w:line="360" w:lineRule="auto"/>
        <w:ind w:firstLine="708"/>
        <w:jc w:val="both"/>
        <w:rPr>
          <w:rFonts w:ascii="Times New Roman" w:hAnsi="Times New Roman"/>
          <w:sz w:val="28"/>
          <w:szCs w:val="28"/>
        </w:rPr>
      </w:pPr>
      <w:r>
        <w:rPr>
          <w:rFonts w:ascii="Times New Roman" w:hAnsi="Times New Roman"/>
          <w:sz w:val="28"/>
          <w:szCs w:val="28"/>
        </w:rPr>
        <w:t xml:space="preserve">Прочные торговые отношения и инвестиционное сотрудничество с ведущими странами обеспечило Австралии 3% темп экономического роста в год в течение последнего десятилетия, что позиционирует государство как одно из сильнейших на международной арене за данный период. </w:t>
      </w:r>
    </w:p>
    <w:p w:rsidR="00986F2F" w:rsidRDefault="00986F2F" w:rsidP="00986F2F">
      <w:pPr>
        <w:spacing w:line="360" w:lineRule="auto"/>
        <w:ind w:firstLine="708"/>
        <w:jc w:val="both"/>
        <w:rPr>
          <w:rFonts w:ascii="Times New Roman" w:hAnsi="Times New Roman"/>
          <w:sz w:val="28"/>
          <w:szCs w:val="28"/>
        </w:rPr>
      </w:pPr>
      <w:r>
        <w:rPr>
          <w:rFonts w:ascii="Times New Roman" w:hAnsi="Times New Roman"/>
          <w:sz w:val="28"/>
          <w:szCs w:val="28"/>
        </w:rPr>
        <w:t>Что касается финансового рынка, более 2100 компаний котируются на Австралийской фондовой бирже (</w:t>
      </w:r>
      <w:r>
        <w:rPr>
          <w:rFonts w:ascii="Times New Roman" w:hAnsi="Times New Roman"/>
          <w:sz w:val="28"/>
          <w:szCs w:val="28"/>
          <w:lang w:val="en-US"/>
        </w:rPr>
        <w:t>ASX</w:t>
      </w:r>
      <w:r>
        <w:rPr>
          <w:rFonts w:ascii="Times New Roman" w:hAnsi="Times New Roman"/>
          <w:sz w:val="28"/>
          <w:szCs w:val="28"/>
        </w:rPr>
        <w:t xml:space="preserve">). Общая рыночная капитализация зарегистрированных участников составляет 1,3 триллиона долларов США. Согласно мнению участников Всемирного экономического форума, Австралия занимает пятое место в мире (из 57 оцениваемых ведущих финансовых систем) по показателю финансового развития. </w:t>
      </w:r>
    </w:p>
    <w:p w:rsidR="00986F2F" w:rsidRDefault="00986F2F" w:rsidP="00986F2F">
      <w:pPr>
        <w:spacing w:line="360" w:lineRule="auto"/>
        <w:ind w:firstLine="708"/>
        <w:jc w:val="both"/>
        <w:rPr>
          <w:rFonts w:ascii="Times New Roman" w:hAnsi="Times New Roman"/>
          <w:sz w:val="28"/>
          <w:szCs w:val="28"/>
        </w:rPr>
      </w:pPr>
      <w:r>
        <w:rPr>
          <w:rFonts w:ascii="Times New Roman" w:hAnsi="Times New Roman"/>
          <w:sz w:val="28"/>
          <w:szCs w:val="28"/>
        </w:rPr>
        <w:t xml:space="preserve">Высокий уровень экономического развития Австралии свидетельствует об успешной организации институтов внутри государства. В частности, статистика по финансовому рынку подтверждает его эффективное функционирование и регулирование. В данной главе будут рассмотрены общее устройство финансового рынка страны, принципы финансового регулирования Австралии до и после введения системы </w:t>
      </w:r>
      <w:r>
        <w:rPr>
          <w:rFonts w:ascii="Times New Roman" w:hAnsi="Times New Roman"/>
          <w:sz w:val="28"/>
          <w:szCs w:val="28"/>
          <w:lang w:val="en-US"/>
        </w:rPr>
        <w:t>Twin</w:t>
      </w:r>
      <w:r w:rsidRPr="00EC06C2">
        <w:rPr>
          <w:rFonts w:ascii="Times New Roman" w:hAnsi="Times New Roman"/>
          <w:sz w:val="28"/>
          <w:szCs w:val="28"/>
        </w:rPr>
        <w:t xml:space="preserve"> </w:t>
      </w:r>
      <w:r>
        <w:rPr>
          <w:rFonts w:ascii="Times New Roman" w:hAnsi="Times New Roman"/>
          <w:sz w:val="28"/>
          <w:szCs w:val="28"/>
          <w:lang w:val="en-US"/>
        </w:rPr>
        <w:t>Peaks</w:t>
      </w:r>
      <w:r>
        <w:rPr>
          <w:rFonts w:ascii="Times New Roman" w:hAnsi="Times New Roman"/>
          <w:sz w:val="28"/>
          <w:szCs w:val="28"/>
        </w:rPr>
        <w:t>, причины данных изменений, а также сильные и слабые стороны саморегулирования на австралийском рынке.</w:t>
      </w:r>
    </w:p>
    <w:p w:rsidR="00986F2F" w:rsidRDefault="00986F2F" w:rsidP="00986F2F">
      <w:pPr>
        <w:spacing w:line="360" w:lineRule="auto"/>
        <w:ind w:firstLine="708"/>
        <w:jc w:val="both"/>
        <w:rPr>
          <w:rFonts w:ascii="Times New Roman" w:hAnsi="Times New Roman"/>
          <w:sz w:val="28"/>
          <w:szCs w:val="28"/>
        </w:rPr>
      </w:pPr>
    </w:p>
    <w:p w:rsidR="00986F2F" w:rsidRDefault="00986F2F" w:rsidP="00986F2F">
      <w:pPr>
        <w:spacing w:line="360" w:lineRule="auto"/>
        <w:jc w:val="both"/>
        <w:rPr>
          <w:rFonts w:ascii="Times New Roman" w:hAnsi="Times New Roman"/>
          <w:b/>
          <w:sz w:val="28"/>
          <w:szCs w:val="28"/>
        </w:rPr>
      </w:pPr>
      <w:r>
        <w:rPr>
          <w:rFonts w:ascii="Times New Roman" w:hAnsi="Times New Roman"/>
          <w:b/>
          <w:sz w:val="28"/>
          <w:szCs w:val="28"/>
        </w:rPr>
        <w:lastRenderedPageBreak/>
        <w:t>1.1. Устройство финансового рынка Австралии</w:t>
      </w:r>
    </w:p>
    <w:p w:rsidR="00986F2F" w:rsidRDefault="00986F2F" w:rsidP="00986F2F">
      <w:pPr>
        <w:spacing w:line="360" w:lineRule="auto"/>
        <w:jc w:val="both"/>
        <w:rPr>
          <w:rFonts w:ascii="Times New Roman" w:hAnsi="Times New Roman"/>
          <w:b/>
          <w:sz w:val="28"/>
          <w:szCs w:val="28"/>
        </w:rPr>
      </w:pPr>
    </w:p>
    <w:p w:rsidR="00986F2F" w:rsidRDefault="00986F2F" w:rsidP="00986F2F">
      <w:pPr>
        <w:spacing w:line="360" w:lineRule="auto"/>
        <w:jc w:val="both"/>
        <w:rPr>
          <w:rFonts w:ascii="Times New Roman" w:hAnsi="Times New Roman"/>
          <w:sz w:val="28"/>
          <w:szCs w:val="28"/>
        </w:rPr>
      </w:pPr>
      <w:r>
        <w:rPr>
          <w:rFonts w:ascii="Times New Roman" w:hAnsi="Times New Roman"/>
          <w:sz w:val="28"/>
          <w:szCs w:val="28"/>
        </w:rPr>
        <w:tab/>
        <w:t xml:space="preserve">Значимыми финансовыми институтами страны являются Австралийская фондовая биржа и её дополнительные структуры – Австралийская Расчетная палата и Электронная Система </w:t>
      </w:r>
      <w:proofErr w:type="spellStart"/>
      <w:r>
        <w:rPr>
          <w:rFonts w:ascii="Times New Roman" w:hAnsi="Times New Roman"/>
          <w:sz w:val="28"/>
          <w:szCs w:val="28"/>
        </w:rPr>
        <w:t>Подреестра</w:t>
      </w:r>
      <w:proofErr w:type="spellEnd"/>
      <w:r>
        <w:rPr>
          <w:rFonts w:ascii="Times New Roman" w:hAnsi="Times New Roman"/>
          <w:sz w:val="28"/>
          <w:szCs w:val="28"/>
        </w:rPr>
        <w:t xml:space="preserve"> (CHESS), а также Австралийская расчетная корпорация (ASTC). Основным государственным органом, ответственным за регулирование этих организаций, является Австралийская комиссия по ценным бумагам и инвестициям (ASIC). Другие государственные учреждения – Резервный банк Австралии (RBA) и Казначейство – также наделены некоторыми полномочиями в сфере регулирования. Таким образом, надзор за функционированием финансового рынка в Австралии осуществляется на федеральном уровне. </w:t>
      </w:r>
    </w:p>
    <w:p w:rsidR="00986F2F" w:rsidRDefault="00986F2F" w:rsidP="00986F2F">
      <w:pPr>
        <w:spacing w:line="360" w:lineRule="auto"/>
        <w:ind w:firstLine="708"/>
        <w:jc w:val="both"/>
        <w:rPr>
          <w:rFonts w:ascii="Times New Roman" w:hAnsi="Times New Roman"/>
          <w:sz w:val="28"/>
          <w:szCs w:val="28"/>
        </w:rPr>
      </w:pPr>
      <w:r>
        <w:rPr>
          <w:rFonts w:ascii="Times New Roman" w:hAnsi="Times New Roman"/>
          <w:sz w:val="28"/>
          <w:szCs w:val="28"/>
        </w:rPr>
        <w:t xml:space="preserve">Отличительной чертой Австралийского режима являются обширные регулятивные полномочия, которыми наделены институты рынка. Нормотворческая деятельность в некоторых сферах, мониторинг деятельности и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обязательств осуществляется фондовыми биржами, особенно Австралийской фондовой биржей. Для обеспечения справедливого и организованного функционирования рынка </w:t>
      </w:r>
      <w:r>
        <w:rPr>
          <w:rFonts w:ascii="Times New Roman" w:hAnsi="Times New Roman"/>
          <w:sz w:val="28"/>
          <w:szCs w:val="28"/>
          <w:lang w:val="en-US"/>
        </w:rPr>
        <w:t>ASX</w:t>
      </w:r>
      <w:r w:rsidRPr="00EC06C2">
        <w:rPr>
          <w:rFonts w:ascii="Times New Roman" w:hAnsi="Times New Roman"/>
          <w:sz w:val="28"/>
          <w:szCs w:val="28"/>
        </w:rPr>
        <w:t xml:space="preserve"> </w:t>
      </w:r>
      <w:r>
        <w:rPr>
          <w:rFonts w:ascii="Times New Roman" w:hAnsi="Times New Roman"/>
          <w:sz w:val="28"/>
          <w:szCs w:val="28"/>
        </w:rPr>
        <w:t xml:space="preserve">передала надзорные полномочия своему дочернему предприятию – Организации по надзору рынка (ASXSM), независимость которого гарантирована. ASXSM следит за соблюдением требований к листингу, механизмов клиринга и расчетов, а также за исполнением правил участия брокеров на рынке. Австралийская фондовая биржа обязана уведомлять </w:t>
      </w:r>
      <w:r>
        <w:rPr>
          <w:rFonts w:ascii="Times New Roman" w:hAnsi="Times New Roman"/>
          <w:sz w:val="28"/>
          <w:szCs w:val="28"/>
          <w:lang w:val="en-US"/>
        </w:rPr>
        <w:t>ASIC</w:t>
      </w:r>
      <w:r w:rsidRPr="00EC06C2">
        <w:rPr>
          <w:rFonts w:ascii="Times New Roman" w:hAnsi="Times New Roman"/>
          <w:sz w:val="28"/>
          <w:szCs w:val="28"/>
        </w:rPr>
        <w:t xml:space="preserve"> </w:t>
      </w:r>
      <w:r>
        <w:rPr>
          <w:rFonts w:ascii="Times New Roman" w:hAnsi="Times New Roman"/>
          <w:sz w:val="28"/>
          <w:szCs w:val="28"/>
        </w:rPr>
        <w:t xml:space="preserve">о своих требованиях к участникам рынка. Несмотря на то, что в Австралии саморегулированию отводится особое место, ни одна отраслевая организация не входит в структуру регулирования финансового рынка. </w:t>
      </w:r>
    </w:p>
    <w:p w:rsidR="00986F2F" w:rsidRDefault="00986F2F" w:rsidP="00986F2F">
      <w:pPr>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Нормотворческие полномочия в области открытой эмиссии ценных бумаг почти полностью принадлежат центральному Правительству, однако политика в сфере финансового регулирования часто формируется исходя из официальных или неофициальных рекомендаций Австралийской комиссии по ценным бумагам и инвестициям. ASIC следит за выпуском проспекта эмиссии и за содержанием данного документа, а также контролирует соблюдение эмитентом правил, касающихся процесса распространения ценных бумаг. Австралийская фондовая биржа устанавливает требования к листингу, правила по периодическим отчетам и раскрытию информации по важным событиям, в то время как центральное Правительство сосредоточено на внешнем аудите и процессах слияний и поглощений. </w:t>
      </w:r>
      <w:proofErr w:type="gramStart"/>
      <w:r>
        <w:rPr>
          <w:rFonts w:ascii="Times New Roman" w:hAnsi="Times New Roman"/>
          <w:sz w:val="28"/>
          <w:szCs w:val="28"/>
          <w:lang w:val="en-US"/>
        </w:rPr>
        <w:t>ASIC</w:t>
      </w:r>
      <w:r w:rsidRPr="00EC06C2">
        <w:rPr>
          <w:rFonts w:ascii="Times New Roman" w:hAnsi="Times New Roman"/>
          <w:sz w:val="28"/>
          <w:szCs w:val="28"/>
        </w:rPr>
        <w:t xml:space="preserve"> </w:t>
      </w:r>
      <w:r>
        <w:rPr>
          <w:rFonts w:ascii="Times New Roman" w:hAnsi="Times New Roman"/>
          <w:sz w:val="28"/>
          <w:szCs w:val="28"/>
        </w:rPr>
        <w:t>ответственна за обеспечение соблюдения законов центрального Правительства по данным вопросам.</w:t>
      </w:r>
      <w:proofErr w:type="gramEnd"/>
      <w:r>
        <w:rPr>
          <w:rFonts w:ascii="Times New Roman" w:hAnsi="Times New Roman"/>
          <w:sz w:val="28"/>
          <w:szCs w:val="28"/>
        </w:rPr>
        <w:t xml:space="preserve"> </w:t>
      </w:r>
    </w:p>
    <w:p w:rsidR="00986F2F" w:rsidRDefault="00986F2F" w:rsidP="00986F2F">
      <w:pPr>
        <w:spacing w:line="360" w:lineRule="auto"/>
        <w:ind w:firstLine="708"/>
        <w:jc w:val="both"/>
        <w:rPr>
          <w:rFonts w:ascii="Times New Roman" w:hAnsi="Times New Roman"/>
          <w:sz w:val="28"/>
          <w:szCs w:val="28"/>
        </w:rPr>
      </w:pPr>
      <w:r>
        <w:rPr>
          <w:rFonts w:ascii="Times New Roman" w:hAnsi="Times New Roman"/>
          <w:sz w:val="28"/>
          <w:szCs w:val="28"/>
        </w:rPr>
        <w:t xml:space="preserve">Пока центральное Правительство сохраняет право законодательной инициативы в большинстве случаев, фондовым биржам предоставляется возможность определять правила торговли. Биржи также контролируют соблюдение установленных ими правил. Их власть в этой сфере осуществляется параллельно с надзором </w:t>
      </w:r>
      <w:r>
        <w:rPr>
          <w:rFonts w:ascii="Times New Roman" w:hAnsi="Times New Roman"/>
          <w:sz w:val="28"/>
          <w:szCs w:val="28"/>
          <w:lang w:val="en-US"/>
        </w:rPr>
        <w:t>ASIC</w:t>
      </w:r>
      <w:r w:rsidRPr="00EC06C2">
        <w:rPr>
          <w:rFonts w:ascii="Times New Roman" w:hAnsi="Times New Roman"/>
          <w:sz w:val="28"/>
          <w:szCs w:val="28"/>
        </w:rPr>
        <w:t xml:space="preserve"> </w:t>
      </w:r>
      <w:r>
        <w:rPr>
          <w:rFonts w:ascii="Times New Roman" w:hAnsi="Times New Roman"/>
          <w:sz w:val="28"/>
          <w:szCs w:val="28"/>
        </w:rPr>
        <w:t xml:space="preserve">за отсутствием фактов манипулирования рынком. Стоит отметить, что биржи не участвуют в регулировании инсайдерской торговли. Центральное Правительство устанавливает правила, определяющие инсайдерскую торговлю, тогда как </w:t>
      </w:r>
      <w:r>
        <w:rPr>
          <w:rFonts w:ascii="Times New Roman" w:hAnsi="Times New Roman"/>
          <w:sz w:val="28"/>
          <w:szCs w:val="28"/>
          <w:lang w:val="en-US"/>
        </w:rPr>
        <w:t>ASIC</w:t>
      </w:r>
      <w:r w:rsidRPr="00EC06C2">
        <w:rPr>
          <w:rFonts w:ascii="Times New Roman" w:hAnsi="Times New Roman"/>
          <w:sz w:val="28"/>
          <w:szCs w:val="28"/>
        </w:rPr>
        <w:t xml:space="preserve"> </w:t>
      </w:r>
      <w:r>
        <w:rPr>
          <w:rFonts w:ascii="Times New Roman" w:hAnsi="Times New Roman"/>
          <w:sz w:val="28"/>
          <w:szCs w:val="28"/>
        </w:rPr>
        <w:t xml:space="preserve">следит за выполнением этих норм. </w:t>
      </w:r>
    </w:p>
    <w:p w:rsidR="00986F2F" w:rsidRDefault="00986F2F" w:rsidP="00986F2F">
      <w:pPr>
        <w:spacing w:line="360" w:lineRule="auto"/>
        <w:ind w:firstLine="708"/>
        <w:jc w:val="both"/>
        <w:rPr>
          <w:rFonts w:ascii="Times New Roman" w:hAnsi="Times New Roman"/>
          <w:sz w:val="28"/>
          <w:szCs w:val="28"/>
        </w:rPr>
      </w:pPr>
      <w:r>
        <w:rPr>
          <w:rFonts w:ascii="Times New Roman" w:hAnsi="Times New Roman"/>
          <w:sz w:val="28"/>
          <w:szCs w:val="28"/>
        </w:rPr>
        <w:t xml:space="preserve">Надзор за местами торговли в Австралии особенно демонстрирует саморегулирование профессиональных участников рынка. Центральное Правительство установило общие требования к лицензированию фондовых бирж, накладывая на них обязательства по осуществлению их деятельности. До тех пор, пока биржа функционирует в соответствии с установленными нормами, она может свободно определять почти все другие оставшиеся вопросы. Таким образом, фондовые биржи объявляют правила касаемо </w:t>
      </w:r>
      <w:r>
        <w:rPr>
          <w:rFonts w:ascii="Times New Roman" w:hAnsi="Times New Roman"/>
          <w:sz w:val="28"/>
          <w:szCs w:val="28"/>
        </w:rPr>
        <w:lastRenderedPageBreak/>
        <w:t xml:space="preserve">внутренней организации, контроля, проведения биржевых операций и т.д. Необходимо, чтобы данные нормы были одобрены Австралийской комиссией по ценным бумагам и инвестициям. Решение </w:t>
      </w:r>
      <w:r>
        <w:rPr>
          <w:rFonts w:ascii="Times New Roman" w:hAnsi="Times New Roman"/>
          <w:sz w:val="28"/>
          <w:szCs w:val="28"/>
          <w:lang w:val="en-US"/>
        </w:rPr>
        <w:t>ASIC</w:t>
      </w:r>
      <w:r w:rsidRPr="00EC06C2">
        <w:rPr>
          <w:rFonts w:ascii="Times New Roman" w:hAnsi="Times New Roman"/>
          <w:sz w:val="28"/>
          <w:szCs w:val="28"/>
        </w:rPr>
        <w:t xml:space="preserve"> </w:t>
      </w:r>
      <w:r>
        <w:rPr>
          <w:rFonts w:ascii="Times New Roman" w:hAnsi="Times New Roman"/>
          <w:sz w:val="28"/>
          <w:szCs w:val="28"/>
        </w:rPr>
        <w:t xml:space="preserve">по лицензированию новой фондовой биржи утверждается центральным Правительством. Оставшиеся задачи </w:t>
      </w:r>
      <w:r>
        <w:rPr>
          <w:rFonts w:ascii="Times New Roman" w:hAnsi="Times New Roman"/>
          <w:sz w:val="28"/>
          <w:szCs w:val="28"/>
          <w:lang w:val="en-US"/>
        </w:rPr>
        <w:t>ASIC</w:t>
      </w:r>
      <w:r>
        <w:rPr>
          <w:rFonts w:ascii="Times New Roman" w:hAnsi="Times New Roman"/>
          <w:sz w:val="28"/>
          <w:szCs w:val="28"/>
        </w:rPr>
        <w:t xml:space="preserve"> в этой сфере сводятся к надзору за соблюдением правил, установленных на рынке.</w:t>
      </w:r>
    </w:p>
    <w:p w:rsidR="00986F2F" w:rsidRDefault="00986F2F" w:rsidP="00986F2F">
      <w:pPr>
        <w:spacing w:line="360" w:lineRule="auto"/>
        <w:ind w:firstLine="708"/>
        <w:jc w:val="both"/>
        <w:rPr>
          <w:rFonts w:ascii="Times New Roman" w:hAnsi="Times New Roman"/>
          <w:sz w:val="28"/>
          <w:szCs w:val="28"/>
        </w:rPr>
      </w:pPr>
      <w:r>
        <w:rPr>
          <w:rFonts w:ascii="Times New Roman" w:hAnsi="Times New Roman"/>
          <w:sz w:val="28"/>
          <w:szCs w:val="28"/>
        </w:rPr>
        <w:t xml:space="preserve">Австралия применяет разные подходы к регулированию деятельности брокерских и дилерских компаний и к надзору за другими профессиональными участниками рынка – финансовыми аналитиками, инвестиционными компаниями и консультантами. Нормотворческие полномочия в области </w:t>
      </w:r>
      <w:proofErr w:type="spellStart"/>
      <w:r>
        <w:rPr>
          <w:rFonts w:ascii="Times New Roman" w:hAnsi="Times New Roman"/>
          <w:sz w:val="28"/>
          <w:szCs w:val="28"/>
        </w:rPr>
        <w:t>брокерско</w:t>
      </w:r>
      <w:proofErr w:type="spellEnd"/>
      <w:r>
        <w:rPr>
          <w:rFonts w:ascii="Times New Roman" w:hAnsi="Times New Roman"/>
          <w:sz w:val="28"/>
          <w:szCs w:val="28"/>
        </w:rPr>
        <w:t xml:space="preserve">-дилерской деятельности разделены между центральным Правительством и фондовыми биржами. Правительство устанавливает общие нормы лицензирования и требования к достаточности капитала, в то время как биржи определяют правила касательно фидуциарных обязательств, ведения бизнеса и членства на фондовой бирже. Что касается сферы профессиональных участников, нормотворческие полномочия осуществляются центральным Правительством и </w:t>
      </w:r>
      <w:r>
        <w:rPr>
          <w:rFonts w:ascii="Times New Roman" w:hAnsi="Times New Roman"/>
          <w:sz w:val="28"/>
          <w:szCs w:val="28"/>
          <w:lang w:val="en-US"/>
        </w:rPr>
        <w:t>ASIC</w:t>
      </w:r>
      <w:r>
        <w:rPr>
          <w:rFonts w:ascii="Times New Roman" w:hAnsi="Times New Roman"/>
          <w:sz w:val="28"/>
          <w:szCs w:val="28"/>
        </w:rPr>
        <w:t xml:space="preserve">. В соответствии с распределением обязанностей в нормотворчестве, фондовые биржи осуществляют мониторинг деятельности </w:t>
      </w:r>
      <w:proofErr w:type="spellStart"/>
      <w:r>
        <w:rPr>
          <w:rFonts w:ascii="Times New Roman" w:hAnsi="Times New Roman"/>
          <w:sz w:val="28"/>
          <w:szCs w:val="28"/>
        </w:rPr>
        <w:t>брокерско</w:t>
      </w:r>
      <w:proofErr w:type="spellEnd"/>
      <w:r>
        <w:rPr>
          <w:rFonts w:ascii="Times New Roman" w:hAnsi="Times New Roman"/>
          <w:sz w:val="28"/>
          <w:szCs w:val="28"/>
        </w:rPr>
        <w:t xml:space="preserve">-дилерских фирм под надзором </w:t>
      </w:r>
      <w:r>
        <w:rPr>
          <w:rFonts w:ascii="Times New Roman" w:hAnsi="Times New Roman"/>
          <w:sz w:val="28"/>
          <w:szCs w:val="28"/>
          <w:lang w:val="en-US"/>
        </w:rPr>
        <w:t>ASIC</w:t>
      </w:r>
      <w:r>
        <w:rPr>
          <w:rFonts w:ascii="Times New Roman" w:hAnsi="Times New Roman"/>
          <w:sz w:val="28"/>
          <w:szCs w:val="28"/>
        </w:rPr>
        <w:t xml:space="preserve">. Помимо этого, </w:t>
      </w:r>
      <w:r>
        <w:rPr>
          <w:rFonts w:ascii="Times New Roman" w:hAnsi="Times New Roman"/>
          <w:sz w:val="28"/>
          <w:szCs w:val="28"/>
          <w:lang w:val="en-US"/>
        </w:rPr>
        <w:t>ASIC</w:t>
      </w:r>
      <w:r>
        <w:rPr>
          <w:rFonts w:ascii="Times New Roman" w:hAnsi="Times New Roman"/>
          <w:sz w:val="28"/>
          <w:szCs w:val="28"/>
        </w:rPr>
        <w:t xml:space="preserve"> отвечает за мониторинг и обеспечение лицензионных обязательств финансовыми аналитиками, инвестиционными компаниями и консультантами. </w:t>
      </w:r>
    </w:p>
    <w:p w:rsidR="00986F2F" w:rsidRDefault="00986F2F" w:rsidP="00986F2F">
      <w:pPr>
        <w:spacing w:line="360" w:lineRule="auto"/>
        <w:jc w:val="both"/>
        <w:rPr>
          <w:rFonts w:ascii="Times New Roman" w:hAnsi="Times New Roman"/>
          <w:sz w:val="28"/>
          <w:szCs w:val="28"/>
        </w:rPr>
      </w:pPr>
      <w:r>
        <w:rPr>
          <w:rFonts w:ascii="Times New Roman" w:hAnsi="Times New Roman"/>
          <w:sz w:val="28"/>
          <w:szCs w:val="28"/>
        </w:rPr>
        <w:tab/>
        <w:t xml:space="preserve">Вовлеченность Австралийского центрального Правительства в процесс клиринга и расчетов на рынке ценных бумаг ограничивается законом о центральном депозитарии (CSD). Основные моменты, связанные с расчетно-клиринговыми операциями, определяются фондовой биржей, которая осуществляет эту деятельность через дочернее учреждение – Организацию по надзору рынка. В связи с возможностью системного риска, Резервный банк Австралии контролирует соблюдение правил </w:t>
      </w:r>
      <w:proofErr w:type="gramStart"/>
      <w:r>
        <w:rPr>
          <w:rFonts w:ascii="Times New Roman" w:hAnsi="Times New Roman"/>
          <w:sz w:val="28"/>
          <w:szCs w:val="28"/>
        </w:rPr>
        <w:t>осуществления</w:t>
      </w:r>
      <w:proofErr w:type="gramEnd"/>
      <w:r>
        <w:rPr>
          <w:rFonts w:ascii="Times New Roman" w:hAnsi="Times New Roman"/>
          <w:sz w:val="28"/>
          <w:szCs w:val="28"/>
        </w:rPr>
        <w:t xml:space="preserve"> </w:t>
      </w:r>
      <w:r>
        <w:rPr>
          <w:rFonts w:ascii="Times New Roman" w:hAnsi="Times New Roman"/>
          <w:sz w:val="28"/>
          <w:szCs w:val="28"/>
        </w:rPr>
        <w:lastRenderedPageBreak/>
        <w:t xml:space="preserve">деятельности центрального депозитария, сотрудничая с ASIC в этом отношении. </w:t>
      </w:r>
    </w:p>
    <w:p w:rsidR="00986F2F" w:rsidRDefault="00986F2F" w:rsidP="00986F2F">
      <w:pPr>
        <w:spacing w:line="360" w:lineRule="auto"/>
        <w:jc w:val="both"/>
        <w:rPr>
          <w:rFonts w:ascii="Times New Roman" w:hAnsi="Times New Roman"/>
          <w:sz w:val="28"/>
          <w:szCs w:val="28"/>
        </w:rPr>
      </w:pPr>
      <w:r>
        <w:rPr>
          <w:rFonts w:ascii="Times New Roman" w:hAnsi="Times New Roman"/>
          <w:sz w:val="28"/>
          <w:szCs w:val="28"/>
        </w:rPr>
        <w:tab/>
        <w:t xml:space="preserve">Таким образом, фондовые биржи наделены широким кругом полномочий в таких вопросах, как составление торговых правил, требований к листингу и текущему раскрытию информации, определение фидуциарных обязательств и правил ведения бизнеса, формулировка условий членства на фондовой бирже и т.д. Однако нормотворческая инициатива в большинстве случаев принадлежит центральному Правительству. Казначейство занимается нормотворческой деятельностью в следующих случаях: регистрация проспектов ценных бумаг и их размещение, регулирование площадок организованной торговли, а также деятельность брокеров и инвестиционных компаний, тогда как стандарты корпоративного управления и случаи правонарушений на рынке определяются Правительством. Контрольно-надзорную и правоприменительную деятельность практически всегда осуществляет Австралийская комиссия по ценным бумагам и инвестициям, за исключением случаев размещения ценных бумаг и торговых правил, которые относятся к полномочиям только Австралийской фондовой биржи. Суды также участвуют в осуществлении правоприменительной деятельности в областях регистрации проспектов ценных бумаг, регулирования площадок организованной торговли и деятельности брокерских и инвестиционных компаний. С одной стороны, такие условия накладывают на биржи, являющиеся саморегулируемыми организациями, определенные обязательства, тем самым ограничивая их деятельность. Но, с другой стороны, данное устройство финансовой системы является эффективным и обеспечивает справедливое и организованное функционирование рынка. </w:t>
      </w:r>
    </w:p>
    <w:p w:rsidR="00986F2F" w:rsidRDefault="00986F2F" w:rsidP="00986F2F">
      <w:pPr>
        <w:spacing w:line="360" w:lineRule="auto"/>
        <w:jc w:val="both"/>
        <w:rPr>
          <w:rFonts w:ascii="Times New Roman" w:hAnsi="Times New Roman"/>
          <w:sz w:val="28"/>
          <w:szCs w:val="28"/>
        </w:rPr>
      </w:pPr>
    </w:p>
    <w:p w:rsidR="00986F2F" w:rsidRDefault="00986F2F" w:rsidP="00986F2F">
      <w:pPr>
        <w:spacing w:line="360" w:lineRule="auto"/>
        <w:jc w:val="both"/>
        <w:rPr>
          <w:rFonts w:ascii="Times New Roman" w:hAnsi="Times New Roman"/>
          <w:b/>
          <w:sz w:val="28"/>
          <w:szCs w:val="28"/>
        </w:rPr>
      </w:pPr>
    </w:p>
    <w:p w:rsidR="00986F2F" w:rsidRDefault="00986F2F" w:rsidP="00986F2F">
      <w:pPr>
        <w:spacing w:line="360" w:lineRule="auto"/>
        <w:jc w:val="both"/>
        <w:rPr>
          <w:rFonts w:ascii="Times New Roman" w:hAnsi="Times New Roman"/>
          <w:b/>
          <w:sz w:val="28"/>
          <w:szCs w:val="28"/>
        </w:rPr>
      </w:pPr>
      <w:r>
        <w:rPr>
          <w:rFonts w:ascii="Times New Roman" w:hAnsi="Times New Roman"/>
          <w:b/>
          <w:sz w:val="28"/>
          <w:szCs w:val="28"/>
        </w:rPr>
        <w:lastRenderedPageBreak/>
        <w:t xml:space="preserve">1.2. Создание системы </w:t>
      </w:r>
      <w:r>
        <w:rPr>
          <w:rFonts w:ascii="Times New Roman" w:hAnsi="Times New Roman"/>
          <w:b/>
          <w:sz w:val="28"/>
          <w:szCs w:val="28"/>
          <w:lang w:val="en-US"/>
        </w:rPr>
        <w:t>Twin</w:t>
      </w:r>
      <w:r w:rsidRPr="00EC06C2">
        <w:rPr>
          <w:rFonts w:ascii="Times New Roman" w:hAnsi="Times New Roman"/>
          <w:b/>
          <w:sz w:val="28"/>
          <w:szCs w:val="28"/>
        </w:rPr>
        <w:t xml:space="preserve"> </w:t>
      </w:r>
      <w:r>
        <w:rPr>
          <w:rFonts w:ascii="Times New Roman" w:hAnsi="Times New Roman"/>
          <w:b/>
          <w:sz w:val="28"/>
          <w:szCs w:val="28"/>
          <w:lang w:val="en-US"/>
        </w:rPr>
        <w:t>Peaks</w:t>
      </w:r>
    </w:p>
    <w:p w:rsidR="00986F2F" w:rsidRDefault="00986F2F" w:rsidP="00986F2F">
      <w:pPr>
        <w:spacing w:line="360" w:lineRule="auto"/>
        <w:jc w:val="both"/>
        <w:rPr>
          <w:rFonts w:ascii="Times New Roman" w:hAnsi="Times New Roman"/>
          <w:b/>
          <w:sz w:val="28"/>
          <w:szCs w:val="28"/>
        </w:rPr>
      </w:pPr>
    </w:p>
    <w:p w:rsidR="00986F2F" w:rsidRDefault="00986F2F" w:rsidP="00986F2F">
      <w:pPr>
        <w:spacing w:line="360" w:lineRule="auto"/>
        <w:jc w:val="both"/>
        <w:rPr>
          <w:rFonts w:ascii="Times New Roman" w:hAnsi="Times New Roman"/>
          <w:sz w:val="28"/>
          <w:szCs w:val="28"/>
        </w:rPr>
      </w:pPr>
      <w:r>
        <w:rPr>
          <w:rFonts w:ascii="Times New Roman" w:hAnsi="Times New Roman"/>
          <w:sz w:val="28"/>
          <w:szCs w:val="28"/>
        </w:rPr>
        <w:tab/>
        <w:t xml:space="preserve">Система финансового регулирования, существующая в Австралии в настоящее время, начала развиваться еще в 1996 году, когда Правительство объявило о создании организации по исследованию финансовой системы (FSI). Учреждение было основано после периода финансового дерегулирования, который начался в 1980-х годах. Дерегулирование подразумевает отход от регулирования некоторых видов финансовой деятельности и наделение банков и других институтов рынка большей свободой для быстрого реагирования на рыночные сигналы и поддержания стабильности финансовой системы. Основными функциями Организации по исследованию финансовой системы являлись анализ результатов невмешательства государства в деятельность финансового рынка, создание оптимального подхода к регулированию, а также разработка способа эффективного внедрения новой системы. </w:t>
      </w:r>
    </w:p>
    <w:p w:rsidR="00986F2F" w:rsidRDefault="00986F2F" w:rsidP="00986F2F">
      <w:pPr>
        <w:spacing w:line="360" w:lineRule="auto"/>
        <w:jc w:val="both"/>
        <w:rPr>
          <w:rFonts w:ascii="Times New Roman" w:hAnsi="Times New Roman"/>
          <w:sz w:val="28"/>
          <w:szCs w:val="28"/>
        </w:rPr>
      </w:pPr>
      <w:r>
        <w:rPr>
          <w:rFonts w:ascii="Times New Roman" w:hAnsi="Times New Roman"/>
          <w:sz w:val="28"/>
          <w:szCs w:val="28"/>
        </w:rPr>
        <w:tab/>
        <w:t xml:space="preserve">Председателем FSI был уважаемый австралийский бизнесмен </w:t>
      </w:r>
      <w:proofErr w:type="spellStart"/>
      <w:r>
        <w:rPr>
          <w:rFonts w:ascii="Times New Roman" w:hAnsi="Times New Roman"/>
          <w:sz w:val="28"/>
          <w:szCs w:val="28"/>
        </w:rPr>
        <w:t>Стэн</w:t>
      </w:r>
      <w:proofErr w:type="spellEnd"/>
      <w:r>
        <w:rPr>
          <w:rFonts w:ascii="Times New Roman" w:hAnsi="Times New Roman"/>
          <w:sz w:val="28"/>
          <w:szCs w:val="28"/>
        </w:rPr>
        <w:t xml:space="preserve"> </w:t>
      </w:r>
      <w:proofErr w:type="spellStart"/>
      <w:r>
        <w:rPr>
          <w:rFonts w:ascii="Times New Roman" w:hAnsi="Times New Roman"/>
          <w:sz w:val="28"/>
          <w:szCs w:val="28"/>
        </w:rPr>
        <w:t>Уоллис</w:t>
      </w:r>
      <w:proofErr w:type="spellEnd"/>
      <w:r>
        <w:rPr>
          <w:rFonts w:ascii="Times New Roman" w:hAnsi="Times New Roman"/>
          <w:sz w:val="28"/>
          <w:szCs w:val="28"/>
        </w:rPr>
        <w:t xml:space="preserve">. Ему предстояло определить направление дальнейшего развития австралийской системы регулирования финансового рынка. Было предложено три основных варианта: создание единственного регулятора, введение ведущего регулятора или переход к системе </w:t>
      </w:r>
      <w:r>
        <w:rPr>
          <w:rFonts w:ascii="Times New Roman" w:hAnsi="Times New Roman"/>
          <w:sz w:val="28"/>
          <w:szCs w:val="28"/>
          <w:lang w:val="en-US"/>
        </w:rPr>
        <w:t>Twin</w:t>
      </w:r>
      <w:r w:rsidRPr="00EC06C2">
        <w:rPr>
          <w:rFonts w:ascii="Times New Roman" w:hAnsi="Times New Roman"/>
          <w:sz w:val="28"/>
          <w:szCs w:val="28"/>
        </w:rPr>
        <w:t xml:space="preserve"> </w:t>
      </w:r>
      <w:r>
        <w:rPr>
          <w:rFonts w:ascii="Times New Roman" w:hAnsi="Times New Roman"/>
          <w:sz w:val="28"/>
          <w:szCs w:val="28"/>
          <w:lang w:val="en-US"/>
        </w:rPr>
        <w:t>Peaks</w:t>
      </w:r>
      <w:r>
        <w:rPr>
          <w:rFonts w:ascii="Times New Roman" w:hAnsi="Times New Roman"/>
          <w:sz w:val="28"/>
          <w:szCs w:val="28"/>
        </w:rPr>
        <w:t xml:space="preserve">. </w:t>
      </w:r>
    </w:p>
    <w:p w:rsidR="00986F2F" w:rsidRDefault="00986F2F" w:rsidP="00986F2F">
      <w:pPr>
        <w:spacing w:line="360" w:lineRule="auto"/>
        <w:jc w:val="both"/>
        <w:rPr>
          <w:rFonts w:ascii="Times New Roman" w:hAnsi="Times New Roman"/>
          <w:sz w:val="28"/>
          <w:szCs w:val="28"/>
        </w:rPr>
      </w:pPr>
      <w:r>
        <w:rPr>
          <w:rFonts w:ascii="Times New Roman" w:hAnsi="Times New Roman"/>
          <w:sz w:val="28"/>
          <w:szCs w:val="28"/>
        </w:rPr>
        <w:tab/>
        <w:t xml:space="preserve">В первом случае предполагалось, что один орган будет осуществлять регулирование рынка и пруденциальное регулирование, а также обеспечивать защиту прав потребителей. Сторонники подхода утверждали, что деятельность будет последовательной и согласованной, так как одному учреждению можно будет тщательно контролировать разные финансовые группы. Помимо этого они полагали, что удастся избежать случаев регулятивного арбитража, когда нормы одного регулятора используются против другого, или же когда находятся пробелы в юрисдикции сразу двух </w:t>
      </w:r>
      <w:r>
        <w:rPr>
          <w:rFonts w:ascii="Times New Roman" w:hAnsi="Times New Roman"/>
          <w:sz w:val="28"/>
          <w:szCs w:val="28"/>
        </w:rPr>
        <w:lastRenderedPageBreak/>
        <w:t>органов. Однако противники метода были обеспокоены тем, что вся власть будет сконцентрирована в руках одного регулятора.</w:t>
      </w:r>
    </w:p>
    <w:p w:rsidR="00986F2F" w:rsidRDefault="00986F2F" w:rsidP="00986F2F">
      <w:pPr>
        <w:spacing w:line="360" w:lineRule="auto"/>
        <w:jc w:val="both"/>
        <w:rPr>
          <w:rFonts w:ascii="Times New Roman" w:hAnsi="Times New Roman"/>
          <w:sz w:val="28"/>
          <w:szCs w:val="28"/>
        </w:rPr>
      </w:pPr>
      <w:r>
        <w:rPr>
          <w:rFonts w:ascii="Times New Roman" w:hAnsi="Times New Roman"/>
          <w:sz w:val="28"/>
          <w:szCs w:val="28"/>
        </w:rPr>
        <w:tab/>
        <w:t xml:space="preserve">Согласно теории о ведущем регуляторе, рассматривался вариант создания одного органа, который бы собирал информацию о финансовых группах, распространял её между другими регулирующими учреждениями и согласовывал любые возникающие вопросы и проблемы. Сторонники подхода подчеркивали, что ведущий регулятор обеспечит скоординированный подход к финансовым группам, сохраняя деятельность существующих регулирующих органов. Оппоненты данной теории утверждали, что введение ведущего регулятора может привести к конкуренции между остальными учреждениями и к замешательству участников рынка касательно разных целей и систем большого числа регуляторов. </w:t>
      </w:r>
    </w:p>
    <w:p w:rsidR="00986F2F" w:rsidRDefault="00986F2F" w:rsidP="00986F2F">
      <w:pPr>
        <w:spacing w:line="360" w:lineRule="auto"/>
        <w:jc w:val="both"/>
        <w:rPr>
          <w:rFonts w:ascii="Times New Roman" w:hAnsi="Times New Roman"/>
          <w:sz w:val="28"/>
          <w:szCs w:val="28"/>
        </w:rPr>
      </w:pPr>
      <w:r>
        <w:rPr>
          <w:rFonts w:ascii="Times New Roman" w:hAnsi="Times New Roman"/>
          <w:sz w:val="28"/>
          <w:szCs w:val="28"/>
        </w:rPr>
        <w:tab/>
        <w:t xml:space="preserve">Третьим вариантом был переход к системе </w:t>
      </w:r>
      <w:r>
        <w:rPr>
          <w:rFonts w:ascii="Times New Roman" w:hAnsi="Times New Roman"/>
          <w:sz w:val="28"/>
          <w:szCs w:val="28"/>
          <w:lang w:val="en-US"/>
        </w:rPr>
        <w:t>Twin</w:t>
      </w:r>
      <w:r w:rsidRPr="00EC06C2">
        <w:rPr>
          <w:rFonts w:ascii="Times New Roman" w:hAnsi="Times New Roman"/>
          <w:sz w:val="28"/>
          <w:szCs w:val="28"/>
        </w:rPr>
        <w:t xml:space="preserve"> </w:t>
      </w:r>
      <w:r>
        <w:rPr>
          <w:rFonts w:ascii="Times New Roman" w:hAnsi="Times New Roman"/>
          <w:sz w:val="28"/>
          <w:szCs w:val="28"/>
          <w:lang w:val="en-US"/>
        </w:rPr>
        <w:t>Peaks</w:t>
      </w:r>
      <w:r>
        <w:rPr>
          <w:rFonts w:ascii="Times New Roman" w:hAnsi="Times New Roman"/>
          <w:sz w:val="28"/>
          <w:szCs w:val="28"/>
        </w:rPr>
        <w:t>, который предполагал создание двух финансовых регуляторов. Один из них был бы ответственен за пруденциальное регулирование, а второй за целостность финансовых рынков, осуществляемую с помощью регулирования поведения участников и качества раскрытия информации о торгующихся финансовых продуктах. Два новых регулятора действовали бы вместе с Резервным банком Австралии и Австралийской комиссией по вопросам конкуренции и защиты потребителей (ACCC). Преимуществом данной модели являлось создание двух специализированных учреждений с четко определенными и понятными регулятивными функциями. По сути, это разделение по функциональному принципу. Среди слабых сторон подхода противники выделяли возможность нормативного совмещения или дублирования, а также возникновение противоречий между учреждениями относительно их целей и задач.</w:t>
      </w:r>
    </w:p>
    <w:p w:rsidR="00986F2F" w:rsidRDefault="00986F2F" w:rsidP="00986F2F">
      <w:pPr>
        <w:spacing w:line="360" w:lineRule="auto"/>
        <w:jc w:val="both"/>
        <w:rPr>
          <w:rFonts w:ascii="Times New Roman" w:hAnsi="Times New Roman"/>
          <w:sz w:val="28"/>
          <w:szCs w:val="28"/>
        </w:rPr>
      </w:pPr>
      <w:r>
        <w:rPr>
          <w:rFonts w:ascii="Times New Roman" w:hAnsi="Times New Roman"/>
          <w:sz w:val="28"/>
          <w:szCs w:val="28"/>
        </w:rPr>
        <w:tab/>
        <w:t xml:space="preserve">С одной стороны, члены Организации по исследованию финансовой системы полагали, что оптимальная структура регулирования предполагает </w:t>
      </w:r>
      <w:r>
        <w:rPr>
          <w:rFonts w:ascii="Times New Roman" w:hAnsi="Times New Roman"/>
          <w:sz w:val="28"/>
          <w:szCs w:val="28"/>
        </w:rPr>
        <w:lastRenderedPageBreak/>
        <w:t xml:space="preserve">наличие одного регулятора, способного решить четыре основные проблемы финансового рынка, среди которых ассиметричная информация, системная нестабильность, нарушение законов участниками рынка и антиконкурентное поведение. С другой стороны, организация не могла вынести окончательное решение в пользу создания единственного регулятора по ряду причин. Во-первых, на данном этапе развития финансовой системы и механизмов регулирования было бы преждевременно объединять все существующие учреждения с их разнообразными подходами. Во-вторых, один регулятор с полагающимися ему функциями мог бы стать слишком влиятельным. Кроме того, наделение одного органа регулирования всеми необходимыми полномочиями могло бы привести к неэффективной работе этого учреждения, так как круг его обязанностей был бы излишне обширен. </w:t>
      </w:r>
    </w:p>
    <w:p w:rsidR="00986F2F" w:rsidRDefault="00986F2F" w:rsidP="00986F2F">
      <w:pPr>
        <w:spacing w:line="360" w:lineRule="auto"/>
        <w:ind w:firstLine="708"/>
        <w:jc w:val="both"/>
        <w:rPr>
          <w:rFonts w:ascii="Times New Roman" w:hAnsi="Times New Roman"/>
          <w:sz w:val="28"/>
          <w:szCs w:val="28"/>
        </w:rPr>
      </w:pPr>
      <w:r>
        <w:rPr>
          <w:rFonts w:ascii="Times New Roman" w:hAnsi="Times New Roman"/>
          <w:sz w:val="28"/>
          <w:szCs w:val="28"/>
        </w:rPr>
        <w:t xml:space="preserve">В результате, Комитет при </w:t>
      </w:r>
      <w:r>
        <w:rPr>
          <w:rFonts w:ascii="Times New Roman" w:hAnsi="Times New Roman"/>
          <w:sz w:val="28"/>
          <w:szCs w:val="28"/>
          <w:lang w:val="en-US"/>
        </w:rPr>
        <w:t>FSI</w:t>
      </w:r>
      <w:r w:rsidRPr="00EC06C2">
        <w:rPr>
          <w:rFonts w:ascii="Times New Roman" w:hAnsi="Times New Roman"/>
          <w:sz w:val="28"/>
          <w:szCs w:val="28"/>
        </w:rPr>
        <w:t xml:space="preserve"> </w:t>
      </w:r>
      <w:r>
        <w:rPr>
          <w:rFonts w:ascii="Times New Roman" w:hAnsi="Times New Roman"/>
          <w:sz w:val="28"/>
          <w:szCs w:val="28"/>
        </w:rPr>
        <w:t xml:space="preserve">решил, что лучшим вариантом для финансовой системы будет создание двух органов регулирования: Австралийской комиссии по ценным бумагам и инвестициям (ASIC) и Австралийской администрации регулирования с совещательным правом (APRA). В данном случае ASIC будет ответственна за целостность рынка и защиту прав потребителей с целью стимулирования соблюдения законов и обеспечения доверия участников рынка. APRA будет уполномочена разрешать проблемы ассиметричной информации путем установления стандартов поведения в сферах страхования, открытия вкладов и пенсионного обеспечения. Помимо введения двух регуляторов Правительство изменило круг полномочий Резервного банка Австралии и Австралийской комиссии по вопросам конкуренции и защиты потребителей. </w:t>
      </w:r>
    </w:p>
    <w:p w:rsidR="00986F2F" w:rsidRDefault="00986F2F" w:rsidP="00986F2F">
      <w:pPr>
        <w:spacing w:line="360" w:lineRule="auto"/>
        <w:ind w:firstLine="708"/>
        <w:jc w:val="both"/>
        <w:rPr>
          <w:rFonts w:ascii="Times New Roman" w:hAnsi="Times New Roman"/>
          <w:sz w:val="28"/>
          <w:szCs w:val="28"/>
        </w:rPr>
      </w:pPr>
      <w:r>
        <w:rPr>
          <w:rFonts w:ascii="Times New Roman" w:hAnsi="Times New Roman"/>
          <w:sz w:val="28"/>
          <w:szCs w:val="28"/>
        </w:rPr>
        <w:t xml:space="preserve">Резервный банк Австралии является центральным банком страны. Комиссией при </w:t>
      </w:r>
      <w:r>
        <w:rPr>
          <w:rFonts w:ascii="Times New Roman" w:hAnsi="Times New Roman"/>
          <w:sz w:val="28"/>
          <w:szCs w:val="28"/>
          <w:lang w:val="en-US"/>
        </w:rPr>
        <w:t>FSI</w:t>
      </w:r>
      <w:r w:rsidRPr="00EC06C2">
        <w:rPr>
          <w:rFonts w:ascii="Times New Roman" w:hAnsi="Times New Roman"/>
          <w:sz w:val="28"/>
          <w:szCs w:val="28"/>
        </w:rPr>
        <w:t xml:space="preserve"> </w:t>
      </w:r>
      <w:r>
        <w:rPr>
          <w:rFonts w:ascii="Times New Roman" w:hAnsi="Times New Roman"/>
          <w:sz w:val="28"/>
          <w:szCs w:val="28"/>
        </w:rPr>
        <w:t xml:space="preserve">было принято решение, что обязанности пруденциального регулятора APRA должны быть отличными от функций Резервного банка Австралии по следующим причинам. Во-первых, регулирование в сферах страхования, открытия вкладов и пенсионного </w:t>
      </w:r>
      <w:r>
        <w:rPr>
          <w:rFonts w:ascii="Times New Roman" w:hAnsi="Times New Roman"/>
          <w:sz w:val="28"/>
          <w:szCs w:val="28"/>
        </w:rPr>
        <w:lastRenderedPageBreak/>
        <w:t xml:space="preserve">обеспечения с меньшей вероятностью будет гибко и эффективно осуществляться центральным банком, основной деятельностью которого является взаимодействие с коммерческими банками страны. Во-вторых, пока центральный банк оказывает поддержку учреждений для сохранения финансовой стабильности, нет автоматической гарантии, что один из институтов не станет неплатежеспособным. Поэтому необходимо разделение функций между двумя органами, то есть создание Австралийской администрации регулирования с совещательным правом, которая бы  следила за соответствием финансовых институтов всем установленным требованиям. Однако системная стабильность финансовой системы должна оставаться прерогативой Резервного банка Австралии. </w:t>
      </w:r>
    </w:p>
    <w:p w:rsidR="00986F2F" w:rsidRDefault="00986F2F" w:rsidP="00986F2F">
      <w:pPr>
        <w:spacing w:line="360" w:lineRule="auto"/>
        <w:ind w:firstLine="708"/>
        <w:jc w:val="both"/>
        <w:rPr>
          <w:rFonts w:ascii="Times New Roman" w:hAnsi="Times New Roman"/>
          <w:sz w:val="28"/>
          <w:szCs w:val="28"/>
        </w:rPr>
      </w:pPr>
      <w:r>
        <w:rPr>
          <w:rFonts w:ascii="Times New Roman" w:hAnsi="Times New Roman"/>
          <w:sz w:val="28"/>
          <w:szCs w:val="28"/>
        </w:rPr>
        <w:t xml:space="preserve">Таким образом, в 1998 году Австралия стала первой страной, которая перешла к модели </w:t>
      </w:r>
      <w:proofErr w:type="spellStart"/>
      <w:r>
        <w:rPr>
          <w:rFonts w:ascii="Times New Roman" w:hAnsi="Times New Roman"/>
          <w:sz w:val="28"/>
          <w:szCs w:val="28"/>
        </w:rPr>
        <w:t>Twin</w:t>
      </w:r>
      <w:proofErr w:type="spellEnd"/>
      <w:r>
        <w:rPr>
          <w:rFonts w:ascii="Times New Roman" w:hAnsi="Times New Roman"/>
          <w:sz w:val="28"/>
          <w:szCs w:val="28"/>
        </w:rPr>
        <w:t xml:space="preserve"> </w:t>
      </w:r>
      <w:proofErr w:type="spellStart"/>
      <w:r>
        <w:rPr>
          <w:rFonts w:ascii="Times New Roman" w:hAnsi="Times New Roman"/>
          <w:sz w:val="28"/>
          <w:szCs w:val="28"/>
        </w:rPr>
        <w:t>Peaks</w:t>
      </w:r>
      <w:proofErr w:type="spellEnd"/>
      <w:r>
        <w:rPr>
          <w:rFonts w:ascii="Times New Roman" w:hAnsi="Times New Roman"/>
          <w:sz w:val="28"/>
          <w:szCs w:val="28"/>
        </w:rPr>
        <w:t xml:space="preserve"> путем проведения реформирования системы регулирования финансового рынка. Решение было принято в 1997 году организацией по исследованию финансовой системы – третьим крупнейшим учреждением, проводившим обзор текущей ситуации в Австралии. В частности, существующие механизмы финансового контроля менялись на систему функционального регулирования. Было создано два регулятора: Австралийская комиссия по ценным бумагам и инвестициям и Австралийская администрация регулирования с совещательным правом. При этом десять регулирующих учреждений, ранее функционировавших на разных уровнях, были упразднены, а Резервный банк Австралии утратил некоторые регулятивные полномочия. </w:t>
      </w:r>
    </w:p>
    <w:p w:rsidR="00986F2F" w:rsidRDefault="00986F2F" w:rsidP="00986F2F">
      <w:pPr>
        <w:spacing w:line="360" w:lineRule="auto"/>
        <w:jc w:val="both"/>
        <w:rPr>
          <w:rFonts w:ascii="Times New Roman" w:hAnsi="Times New Roman"/>
          <w:b/>
          <w:sz w:val="28"/>
          <w:szCs w:val="28"/>
        </w:rPr>
      </w:pPr>
    </w:p>
    <w:p w:rsidR="00986F2F" w:rsidRDefault="00986F2F" w:rsidP="00986F2F">
      <w:pPr>
        <w:spacing w:line="360" w:lineRule="auto"/>
        <w:jc w:val="both"/>
        <w:rPr>
          <w:rFonts w:ascii="Times New Roman" w:hAnsi="Times New Roman"/>
          <w:b/>
          <w:sz w:val="28"/>
          <w:szCs w:val="28"/>
        </w:rPr>
      </w:pPr>
      <w:r>
        <w:rPr>
          <w:rFonts w:ascii="Times New Roman" w:hAnsi="Times New Roman"/>
          <w:b/>
          <w:sz w:val="28"/>
          <w:szCs w:val="28"/>
        </w:rPr>
        <w:t xml:space="preserve">1.3. Структура финансового рынка до перехода к системе </w:t>
      </w:r>
      <w:proofErr w:type="spellStart"/>
      <w:r>
        <w:rPr>
          <w:rFonts w:ascii="Times New Roman" w:hAnsi="Times New Roman"/>
          <w:b/>
          <w:sz w:val="28"/>
          <w:szCs w:val="28"/>
        </w:rPr>
        <w:t>Twin</w:t>
      </w:r>
      <w:proofErr w:type="spellEnd"/>
      <w:r>
        <w:rPr>
          <w:rFonts w:ascii="Times New Roman" w:hAnsi="Times New Roman"/>
          <w:b/>
          <w:sz w:val="28"/>
          <w:szCs w:val="28"/>
        </w:rPr>
        <w:t xml:space="preserve"> </w:t>
      </w:r>
      <w:proofErr w:type="spellStart"/>
      <w:r>
        <w:rPr>
          <w:rFonts w:ascii="Times New Roman" w:hAnsi="Times New Roman"/>
          <w:b/>
          <w:sz w:val="28"/>
          <w:szCs w:val="28"/>
        </w:rPr>
        <w:t>Peaks</w:t>
      </w:r>
      <w:proofErr w:type="spellEnd"/>
      <w:r>
        <w:rPr>
          <w:rFonts w:ascii="Times New Roman" w:hAnsi="Times New Roman"/>
          <w:b/>
          <w:sz w:val="28"/>
          <w:szCs w:val="28"/>
        </w:rPr>
        <w:t xml:space="preserve"> </w:t>
      </w:r>
    </w:p>
    <w:p w:rsidR="00986F2F" w:rsidRDefault="00986F2F" w:rsidP="00986F2F">
      <w:pPr>
        <w:spacing w:line="360" w:lineRule="auto"/>
        <w:jc w:val="both"/>
        <w:rPr>
          <w:rFonts w:ascii="Times New Roman" w:hAnsi="Times New Roman"/>
          <w:b/>
          <w:sz w:val="28"/>
          <w:szCs w:val="28"/>
        </w:rPr>
      </w:pPr>
    </w:p>
    <w:p w:rsidR="00986F2F" w:rsidRDefault="00986F2F" w:rsidP="00986F2F">
      <w:pPr>
        <w:spacing w:line="360" w:lineRule="auto"/>
        <w:ind w:firstLine="708"/>
        <w:jc w:val="both"/>
        <w:rPr>
          <w:rFonts w:ascii="Times New Roman" w:hAnsi="Times New Roman"/>
          <w:sz w:val="28"/>
          <w:szCs w:val="28"/>
        </w:rPr>
      </w:pPr>
      <w:r>
        <w:rPr>
          <w:rFonts w:ascii="Times New Roman" w:hAnsi="Times New Roman"/>
          <w:sz w:val="28"/>
          <w:szCs w:val="28"/>
        </w:rPr>
        <w:t xml:space="preserve">На протяжении ста лет шесть фондовых бирж, функционирующих на уровне штатов, регулировали финансовые рынки Австралии и их участников </w:t>
      </w:r>
      <w:r>
        <w:rPr>
          <w:rFonts w:ascii="Times New Roman" w:hAnsi="Times New Roman"/>
          <w:sz w:val="28"/>
          <w:szCs w:val="28"/>
        </w:rPr>
        <w:lastRenderedPageBreak/>
        <w:t xml:space="preserve">без законодательной поддержки, а также без контроля со стороны государства. После падения рынка акций в 1969-1970 годах ситуация изменилась. Некоторые штаты </w:t>
      </w:r>
      <w:proofErr w:type="gramStart"/>
      <w:r>
        <w:rPr>
          <w:rFonts w:ascii="Times New Roman" w:hAnsi="Times New Roman"/>
          <w:sz w:val="28"/>
          <w:szCs w:val="28"/>
        </w:rPr>
        <w:t>в начале</w:t>
      </w:r>
      <w:proofErr w:type="gramEnd"/>
      <w:r>
        <w:rPr>
          <w:rFonts w:ascii="Times New Roman" w:hAnsi="Times New Roman"/>
          <w:sz w:val="28"/>
          <w:szCs w:val="28"/>
        </w:rPr>
        <w:t xml:space="preserve"> 1970 начали разрабатывать законодательство в сфере контроля рынка ценных бумаг и постепенно внедрять его. В 1980 году Правительство впервые учредило комиссию по работе с национальными компаниями и ценными бумагами (NCSC), осуществлявшую надзор за деятельностью компаний на фондовых биржах, их поведением, а также за случаями слияний и поглощений. В течение двух последующих десятилетий вмешательство со стороны государства в регулирование финансовых рынков увеличивалось, постепенно разрабатывалась законодательная основа, отражающая официальные требования к торгующимся компаниям, однако саморегулирование было в приоритете. </w:t>
      </w:r>
    </w:p>
    <w:p w:rsidR="00986F2F" w:rsidRDefault="00986F2F" w:rsidP="00986F2F">
      <w:pPr>
        <w:spacing w:line="360" w:lineRule="auto"/>
        <w:ind w:firstLine="708"/>
        <w:jc w:val="both"/>
        <w:rPr>
          <w:rFonts w:ascii="Times New Roman" w:hAnsi="Times New Roman"/>
          <w:sz w:val="28"/>
          <w:szCs w:val="28"/>
        </w:rPr>
      </w:pPr>
      <w:r>
        <w:rPr>
          <w:rFonts w:ascii="Times New Roman" w:hAnsi="Times New Roman"/>
          <w:sz w:val="28"/>
          <w:szCs w:val="28"/>
        </w:rPr>
        <w:t xml:space="preserve">Реформа 1998 года, ознаменовавшая переход к новой модели регулирования финансового рынка, во многом изменила ранее существовавшую структуру надзора. В соответствии с прежней системой, отдельные организации регулировали разные типы финансовых учреждений. Рассмотрим подробнее рамки финансового надзора в Австралии до 1998 года. </w:t>
      </w:r>
    </w:p>
    <w:p w:rsidR="00986F2F" w:rsidRDefault="00986F2F" w:rsidP="00986F2F">
      <w:pPr>
        <w:spacing w:line="360" w:lineRule="auto"/>
        <w:ind w:firstLine="708"/>
        <w:jc w:val="both"/>
        <w:rPr>
          <w:rFonts w:ascii="Times New Roman" w:hAnsi="Times New Roman"/>
          <w:sz w:val="28"/>
          <w:szCs w:val="28"/>
        </w:rPr>
      </w:pPr>
      <w:r>
        <w:rPr>
          <w:rFonts w:ascii="Times New Roman" w:hAnsi="Times New Roman"/>
          <w:sz w:val="28"/>
          <w:szCs w:val="28"/>
        </w:rPr>
        <w:t xml:space="preserve">На схеме 1 представлены регулирующие органы, а также обозначены их основные сферы деятельности. Резервный банк Австралии осуществлял </w:t>
      </w:r>
      <w:proofErr w:type="spellStart"/>
      <w:r>
        <w:rPr>
          <w:rFonts w:ascii="Times New Roman" w:hAnsi="Times New Roman"/>
          <w:sz w:val="28"/>
          <w:szCs w:val="28"/>
        </w:rPr>
        <w:t>пруденциальный</w:t>
      </w:r>
      <w:proofErr w:type="spellEnd"/>
      <w:r>
        <w:rPr>
          <w:rFonts w:ascii="Times New Roman" w:hAnsi="Times New Roman"/>
          <w:sz w:val="28"/>
          <w:szCs w:val="28"/>
        </w:rPr>
        <w:t xml:space="preserve"> надзор за банками страны. Под этим подразумевается предварительный контроль, позволяющий регистрировать возможные осложнения и проблемы в деятельности финансовых институтов. Комиссия по страхованию и пенсионному обеспечению (ISC) контролировала деятельность страховых компаний и пенсионных фондов. Надзорные органы на уровне штатов и территорий (</w:t>
      </w:r>
      <w:proofErr w:type="spellStart"/>
      <w:r>
        <w:rPr>
          <w:rFonts w:ascii="Times New Roman" w:hAnsi="Times New Roman"/>
          <w:sz w:val="28"/>
          <w:szCs w:val="28"/>
        </w:rPr>
        <w:t>SSAs</w:t>
      </w:r>
      <w:proofErr w:type="spellEnd"/>
      <w:r>
        <w:rPr>
          <w:rFonts w:ascii="Times New Roman" w:hAnsi="Times New Roman"/>
          <w:sz w:val="28"/>
          <w:szCs w:val="28"/>
        </w:rPr>
        <w:t xml:space="preserve">) осуществляли ежедневное наблюдение за строительными обществами,  обществами взаимного </w:t>
      </w:r>
      <w:r>
        <w:rPr>
          <w:rFonts w:ascii="Times New Roman" w:hAnsi="Times New Roman"/>
          <w:sz w:val="28"/>
          <w:szCs w:val="28"/>
        </w:rPr>
        <w:lastRenderedPageBreak/>
        <w:t xml:space="preserve">страхования и кредитными кооперативами под руководством Австралийской </w:t>
      </w:r>
      <w:r>
        <w:rPr>
          <w:noProof/>
          <w:lang w:eastAsia="ru-RU"/>
        </w:rPr>
        <w:drawing>
          <wp:anchor distT="0" distB="0" distL="114300" distR="114300" simplePos="0" relativeHeight="251663360" behindDoc="1" locked="0" layoutInCell="1" allowOverlap="1" wp14:anchorId="267BB6AB" wp14:editId="731B90EA">
            <wp:simplePos x="0" y="0"/>
            <wp:positionH relativeFrom="column">
              <wp:posOffset>-22225</wp:posOffset>
            </wp:positionH>
            <wp:positionV relativeFrom="paragraph">
              <wp:posOffset>1419225</wp:posOffset>
            </wp:positionV>
            <wp:extent cx="5940425" cy="3838575"/>
            <wp:effectExtent l="0" t="0" r="3175" b="952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8385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rPr>
        <w:t xml:space="preserve">комиссии по финансовым институтам (AFIC). </w:t>
      </w:r>
    </w:p>
    <w:p w:rsidR="00986F2F" w:rsidRDefault="00986F2F" w:rsidP="00986F2F">
      <w:pPr>
        <w:spacing w:line="360" w:lineRule="auto"/>
        <w:ind w:firstLine="708"/>
        <w:jc w:val="both"/>
        <w:rPr>
          <w:rFonts w:ascii="Times New Roman" w:hAnsi="Times New Roman"/>
          <w:sz w:val="28"/>
          <w:szCs w:val="28"/>
        </w:rPr>
      </w:pPr>
      <w:r>
        <w:rPr>
          <w:noProof/>
          <w:lang w:eastAsia="ru-RU"/>
        </w:rPr>
        <mc:AlternateContent>
          <mc:Choice Requires="wps">
            <w:drawing>
              <wp:anchor distT="0" distB="0" distL="114300" distR="114300" simplePos="0" relativeHeight="251662336" behindDoc="0" locked="0" layoutInCell="1" allowOverlap="1" wp14:anchorId="03935633" wp14:editId="465E994D">
                <wp:simplePos x="0" y="0"/>
                <wp:positionH relativeFrom="column">
                  <wp:posOffset>-114300</wp:posOffset>
                </wp:positionH>
                <wp:positionV relativeFrom="paragraph">
                  <wp:posOffset>4669790</wp:posOffset>
                </wp:positionV>
                <wp:extent cx="5940425" cy="409575"/>
                <wp:effectExtent l="0" t="2540" r="3175" b="0"/>
                <wp:wrapTight wrapText="bothSides">
                  <wp:wrapPolygon edited="0">
                    <wp:start x="-35" y="0"/>
                    <wp:lineTo x="-35" y="21098"/>
                    <wp:lineTo x="21600" y="21098"/>
                    <wp:lineTo x="21600" y="0"/>
                    <wp:lineTo x="-35" y="0"/>
                  </wp:wrapPolygon>
                </wp:wrapTight>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Default="00DA0396" w:rsidP="00986F2F">
                            <w:pPr>
                              <w:pStyle w:val="aa"/>
                              <w:jc w:val="right"/>
                              <w:rPr>
                                <w:rFonts w:ascii="Times New Roman" w:hAnsi="Times New Roman"/>
                                <w:noProof/>
                                <w:color w:val="auto"/>
                                <w:sz w:val="20"/>
                                <w:szCs w:val="20"/>
                                <w:lang w:val="en-US"/>
                              </w:rPr>
                            </w:pPr>
                            <w:r>
                              <w:rPr>
                                <w:rFonts w:ascii="Times New Roman" w:hAnsi="Times New Roman"/>
                                <w:color w:val="auto"/>
                                <w:sz w:val="20"/>
                                <w:szCs w:val="20"/>
                              </w:rPr>
                              <w:t>Источник</w:t>
                            </w:r>
                            <w:r>
                              <w:rPr>
                                <w:rFonts w:ascii="Times New Roman" w:hAnsi="Times New Roman"/>
                                <w:color w:val="auto"/>
                                <w:sz w:val="20"/>
                                <w:szCs w:val="20"/>
                                <w:lang w:val="en-US"/>
                              </w:rPr>
                              <w:t xml:space="preserve">: B. Goldsworthy, D. Lewis and G. </w:t>
                            </w:r>
                            <w:proofErr w:type="spellStart"/>
                            <w:r>
                              <w:rPr>
                                <w:rFonts w:ascii="Times New Roman" w:hAnsi="Times New Roman"/>
                                <w:color w:val="auto"/>
                                <w:sz w:val="20"/>
                                <w:szCs w:val="20"/>
                                <w:lang w:val="en-US"/>
                              </w:rPr>
                              <w:t>Shuetrim</w:t>
                            </w:r>
                            <w:proofErr w:type="spellEnd"/>
                            <w:r>
                              <w:rPr>
                                <w:rFonts w:ascii="Times New Roman" w:hAnsi="Times New Roman"/>
                                <w:color w:val="auto"/>
                                <w:sz w:val="20"/>
                                <w:szCs w:val="20"/>
                                <w:lang w:val="en-US"/>
                              </w:rPr>
                              <w:t xml:space="preserve">. 2000. ‘APRA and the Financial System Inquiry’. </w:t>
                            </w:r>
                            <w:proofErr w:type="gramStart"/>
                            <w:r>
                              <w:rPr>
                                <w:rFonts w:ascii="Times New Roman" w:hAnsi="Times New Roman"/>
                                <w:color w:val="auto"/>
                                <w:sz w:val="20"/>
                                <w:szCs w:val="20"/>
                                <w:lang w:val="en-US"/>
                              </w:rPr>
                              <w:t>Working Paper, 3.</w:t>
                            </w:r>
                            <w:proofErr w:type="gramEnd"/>
                            <w:r>
                              <w:rPr>
                                <w:rFonts w:ascii="Times New Roman" w:hAnsi="Times New Roman"/>
                                <w:color w:val="auto"/>
                                <w:sz w:val="20"/>
                                <w:szCs w:val="20"/>
                                <w:lang w:val="en-US"/>
                              </w:rPr>
                              <w:t xml:space="preserve"> Sydney: Australian Prudential Regulation Authority, p.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9pt;margin-top:367.7pt;width:467.7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" stroked="f">
                <v:textbox style="mso-fit-shape-to-text:t" inset="0,0,0,0">
                  <w:txbxContent>
                    <w:p w:rsidR="00DA0396" w:rsidRDefault="00DA0396" w:rsidP="00986F2F">
                      <w:pPr>
                        <w:pStyle w:val="aa"/>
                        <w:jc w:val="right"/>
                        <w:rPr>
                          <w:rFonts w:ascii="Times New Roman" w:hAnsi="Times New Roman"/>
                          <w:noProof/>
                          <w:color w:val="auto"/>
                          <w:sz w:val="20"/>
                          <w:szCs w:val="20"/>
                          <w:lang w:val="en-US"/>
                        </w:rPr>
                      </w:pPr>
                      <w:r>
                        <w:rPr>
                          <w:rFonts w:ascii="Times New Roman" w:hAnsi="Times New Roman"/>
                          <w:color w:val="auto"/>
                          <w:sz w:val="20"/>
                          <w:szCs w:val="20"/>
                        </w:rPr>
                        <w:t>Источник</w:t>
                      </w:r>
                      <w:r>
                        <w:rPr>
                          <w:rFonts w:ascii="Times New Roman" w:hAnsi="Times New Roman"/>
                          <w:color w:val="auto"/>
                          <w:sz w:val="20"/>
                          <w:szCs w:val="20"/>
                          <w:lang w:val="en-US"/>
                        </w:rPr>
                        <w:t xml:space="preserve">: B. Goldsworthy, D. Lewis and G. </w:t>
                      </w:r>
                      <w:proofErr w:type="spellStart"/>
                      <w:r>
                        <w:rPr>
                          <w:rFonts w:ascii="Times New Roman" w:hAnsi="Times New Roman"/>
                          <w:color w:val="auto"/>
                          <w:sz w:val="20"/>
                          <w:szCs w:val="20"/>
                          <w:lang w:val="en-US"/>
                        </w:rPr>
                        <w:t>Shuetrim</w:t>
                      </w:r>
                      <w:proofErr w:type="spellEnd"/>
                      <w:r>
                        <w:rPr>
                          <w:rFonts w:ascii="Times New Roman" w:hAnsi="Times New Roman"/>
                          <w:color w:val="auto"/>
                          <w:sz w:val="20"/>
                          <w:szCs w:val="20"/>
                          <w:lang w:val="en-US"/>
                        </w:rPr>
                        <w:t xml:space="preserve">. 2000. ‘APRA and the Financial System Inquiry’. </w:t>
                      </w:r>
                      <w:proofErr w:type="gramStart"/>
                      <w:r>
                        <w:rPr>
                          <w:rFonts w:ascii="Times New Roman" w:hAnsi="Times New Roman"/>
                          <w:color w:val="auto"/>
                          <w:sz w:val="20"/>
                          <w:szCs w:val="20"/>
                          <w:lang w:val="en-US"/>
                        </w:rPr>
                        <w:t>Working Paper, 3.</w:t>
                      </w:r>
                      <w:proofErr w:type="gramEnd"/>
                      <w:r>
                        <w:rPr>
                          <w:rFonts w:ascii="Times New Roman" w:hAnsi="Times New Roman"/>
                          <w:color w:val="auto"/>
                          <w:sz w:val="20"/>
                          <w:szCs w:val="20"/>
                          <w:lang w:val="en-US"/>
                        </w:rPr>
                        <w:t xml:space="preserve"> Sydney: Australian Prudential Regulation Authority, p. 2.</w:t>
                      </w:r>
                    </w:p>
                  </w:txbxContent>
                </v:textbox>
                <w10:wrap type="tight"/>
              </v:shape>
            </w:pict>
          </mc:Fallback>
        </mc:AlternateContent>
      </w:r>
      <w:r>
        <w:rPr>
          <w:noProof/>
          <w:lang w:eastAsia="ru-RU"/>
        </w:rPr>
        <mc:AlternateContent>
          <mc:Choice Requires="wps">
            <w:drawing>
              <wp:anchor distT="0" distB="0" distL="114300" distR="114300" simplePos="0" relativeHeight="251661312" behindDoc="0" locked="0" layoutInCell="1" allowOverlap="1" wp14:anchorId="362BF059" wp14:editId="4EB043D9">
                <wp:simplePos x="0" y="0"/>
                <wp:positionH relativeFrom="column">
                  <wp:posOffset>0</wp:posOffset>
                </wp:positionH>
                <wp:positionV relativeFrom="paragraph">
                  <wp:posOffset>173990</wp:posOffset>
                </wp:positionV>
                <wp:extent cx="5940425" cy="228600"/>
                <wp:effectExtent l="0" t="2540" r="3175" b="0"/>
                <wp:wrapTight wrapText="bothSides">
                  <wp:wrapPolygon edited="0">
                    <wp:start x="-35" y="0"/>
                    <wp:lineTo x="-35" y="20700"/>
                    <wp:lineTo x="21600" y="20700"/>
                    <wp:lineTo x="21600" y="0"/>
                    <wp:lineTo x="-35" y="0"/>
                  </wp:wrapPolygon>
                </wp:wrapTigh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Default="00DA0396" w:rsidP="00986F2F">
                            <w:pPr>
                              <w:pStyle w:val="aa"/>
                              <w:jc w:val="center"/>
                              <w:rPr>
                                <w:rFonts w:ascii="Times New Roman" w:hAnsi="Times New Roman"/>
                                <w:color w:val="auto"/>
                                <w:sz w:val="24"/>
                                <w:szCs w:val="24"/>
                              </w:rPr>
                            </w:pPr>
                            <w:r>
                              <w:rPr>
                                <w:rFonts w:ascii="Times New Roman" w:hAnsi="Times New Roman"/>
                                <w:color w:val="auto"/>
                                <w:sz w:val="24"/>
                                <w:szCs w:val="24"/>
                              </w:rPr>
                              <w:t xml:space="preserve">Схема </w:t>
                            </w:r>
                            <w:r>
                              <w:rPr>
                                <w:rFonts w:ascii="Times New Roman" w:hAnsi="Times New Roman"/>
                                <w:color w:val="auto"/>
                                <w:sz w:val="24"/>
                                <w:szCs w:val="24"/>
                              </w:rPr>
                              <w:fldChar w:fldCharType="begin"/>
                            </w:r>
                            <w:r>
                              <w:rPr>
                                <w:rFonts w:ascii="Times New Roman" w:hAnsi="Times New Roman"/>
                                <w:color w:val="auto"/>
                                <w:sz w:val="24"/>
                                <w:szCs w:val="24"/>
                              </w:rPr>
                              <w:instrText xml:space="preserve"> SEQ Схема \* ARABIC </w:instrText>
                            </w:r>
                            <w:r>
                              <w:rPr>
                                <w:rFonts w:ascii="Times New Roman" w:hAnsi="Times New Roman"/>
                                <w:color w:val="auto"/>
                                <w:sz w:val="24"/>
                                <w:szCs w:val="24"/>
                              </w:rPr>
                              <w:fldChar w:fldCharType="separate"/>
                            </w:r>
                            <w:r>
                              <w:rPr>
                                <w:rFonts w:ascii="Times New Roman" w:hAnsi="Times New Roman"/>
                                <w:noProof/>
                                <w:color w:val="auto"/>
                                <w:sz w:val="24"/>
                                <w:szCs w:val="24"/>
                              </w:rPr>
                              <w:t>1</w:t>
                            </w:r>
                            <w:r>
                              <w:rPr>
                                <w:rFonts w:ascii="Times New Roman" w:hAnsi="Times New Roman"/>
                                <w:color w:val="auto"/>
                                <w:sz w:val="24"/>
                                <w:szCs w:val="24"/>
                              </w:rPr>
                              <w:fldChar w:fldCharType="end"/>
                            </w:r>
                            <w:r>
                              <w:rPr>
                                <w:rFonts w:ascii="Times New Roman" w:hAnsi="Times New Roman"/>
                                <w:color w:val="auto"/>
                                <w:sz w:val="24"/>
                                <w:szCs w:val="24"/>
                              </w:rPr>
                              <w:t>: Институциональный подход к регулированию в Австралии (до 1998 года)</w:t>
                            </w:r>
                          </w:p>
                          <w:p w:rsidR="00DA0396" w:rsidRDefault="00DA0396" w:rsidP="00986F2F">
                            <w:pPr>
                              <w:jc w:val="cente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left:0;text-align:left;margin-left:0;margin-top:13.7pt;width:467.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" stroked="f">
                <v:textbox inset="0,0,0,0">
                  <w:txbxContent>
                    <w:p w:rsidR="00DA0396" w:rsidRDefault="00DA0396" w:rsidP="00986F2F">
                      <w:pPr>
                        <w:pStyle w:val="aa"/>
                        <w:jc w:val="center"/>
                        <w:rPr>
                          <w:rFonts w:ascii="Times New Roman" w:hAnsi="Times New Roman"/>
                          <w:color w:val="auto"/>
                          <w:sz w:val="24"/>
                          <w:szCs w:val="24"/>
                        </w:rPr>
                      </w:pPr>
                      <w:r>
                        <w:rPr>
                          <w:rFonts w:ascii="Times New Roman" w:hAnsi="Times New Roman"/>
                          <w:color w:val="auto"/>
                          <w:sz w:val="24"/>
                          <w:szCs w:val="24"/>
                        </w:rPr>
                        <w:t xml:space="preserve">Схема </w:t>
                      </w:r>
                      <w:r>
                        <w:rPr>
                          <w:rFonts w:ascii="Times New Roman" w:hAnsi="Times New Roman"/>
                          <w:color w:val="auto"/>
                          <w:sz w:val="24"/>
                          <w:szCs w:val="24"/>
                        </w:rPr>
                        <w:fldChar w:fldCharType="begin"/>
                      </w:r>
                      <w:r>
                        <w:rPr>
                          <w:rFonts w:ascii="Times New Roman" w:hAnsi="Times New Roman"/>
                          <w:color w:val="auto"/>
                          <w:sz w:val="24"/>
                          <w:szCs w:val="24"/>
                        </w:rPr>
                        <w:instrText xml:space="preserve"> SEQ Схема \* ARABIC </w:instrText>
                      </w:r>
                      <w:r>
                        <w:rPr>
                          <w:rFonts w:ascii="Times New Roman" w:hAnsi="Times New Roman"/>
                          <w:color w:val="auto"/>
                          <w:sz w:val="24"/>
                          <w:szCs w:val="24"/>
                        </w:rPr>
                        <w:fldChar w:fldCharType="separate"/>
                      </w:r>
                      <w:r>
                        <w:rPr>
                          <w:rFonts w:ascii="Times New Roman" w:hAnsi="Times New Roman"/>
                          <w:noProof/>
                          <w:color w:val="auto"/>
                          <w:sz w:val="24"/>
                          <w:szCs w:val="24"/>
                        </w:rPr>
                        <w:t>1</w:t>
                      </w:r>
                      <w:r>
                        <w:rPr>
                          <w:rFonts w:ascii="Times New Roman" w:hAnsi="Times New Roman"/>
                          <w:color w:val="auto"/>
                          <w:sz w:val="24"/>
                          <w:szCs w:val="24"/>
                        </w:rPr>
                        <w:fldChar w:fldCharType="end"/>
                      </w:r>
                      <w:r>
                        <w:rPr>
                          <w:rFonts w:ascii="Times New Roman" w:hAnsi="Times New Roman"/>
                          <w:color w:val="auto"/>
                          <w:sz w:val="24"/>
                          <w:szCs w:val="24"/>
                        </w:rPr>
                        <w:t>: Институциональный подход к регулированию в Австралии (до 1998 года)</w:t>
                      </w:r>
                    </w:p>
                    <w:p w:rsidR="00DA0396" w:rsidRDefault="00DA0396" w:rsidP="00986F2F">
                      <w:pPr>
                        <w:jc w:val="center"/>
                        <w:rPr>
                          <w:sz w:val="24"/>
                          <w:szCs w:val="24"/>
                        </w:rPr>
                      </w:pPr>
                    </w:p>
                  </w:txbxContent>
                </v:textbox>
                <w10:wrap type="tight"/>
              </v:shape>
            </w:pict>
          </mc:Fallback>
        </mc:AlternateContent>
      </w:r>
    </w:p>
    <w:p w:rsidR="00986F2F" w:rsidRDefault="00986F2F" w:rsidP="00986F2F">
      <w:pPr>
        <w:spacing w:line="360" w:lineRule="auto"/>
        <w:jc w:val="both"/>
        <w:rPr>
          <w:rFonts w:ascii="Times New Roman" w:hAnsi="Times New Roman"/>
          <w:sz w:val="28"/>
          <w:szCs w:val="28"/>
        </w:rPr>
      </w:pPr>
      <w:r>
        <w:rPr>
          <w:rFonts w:ascii="Times New Roman" w:hAnsi="Times New Roman"/>
          <w:sz w:val="28"/>
          <w:szCs w:val="28"/>
        </w:rPr>
        <w:tab/>
        <w:t xml:space="preserve">Помимо пруденциального регулирования, осуществляемого перечисленными органами, отдельно обеспечивалась защита прав инвесторов. Данная функция входила в полномочия Австралийской комиссии по ценным бумагам (ASC), в то время как за права потребителей отвечала Австралийская комиссия по вопросам конкуренции и защиты потребителей (ACCC). </w:t>
      </w:r>
    </w:p>
    <w:p w:rsidR="00986F2F" w:rsidRDefault="00986F2F" w:rsidP="00986F2F">
      <w:pPr>
        <w:spacing w:line="360" w:lineRule="auto"/>
        <w:jc w:val="both"/>
        <w:rPr>
          <w:rFonts w:ascii="Times New Roman" w:hAnsi="Times New Roman"/>
          <w:sz w:val="28"/>
          <w:szCs w:val="28"/>
        </w:rPr>
      </w:pPr>
      <w:r>
        <w:rPr>
          <w:rFonts w:ascii="Times New Roman" w:hAnsi="Times New Roman"/>
          <w:sz w:val="28"/>
          <w:szCs w:val="28"/>
        </w:rPr>
        <w:tab/>
        <w:t xml:space="preserve">Все перечисленные надзорные органы (кроме Резервного банка Австралии) контролировались Советом по финансовому надзору (CFS). </w:t>
      </w:r>
      <w:r>
        <w:rPr>
          <w:rFonts w:ascii="Times New Roman" w:hAnsi="Times New Roman"/>
          <w:sz w:val="28"/>
          <w:szCs w:val="28"/>
        </w:rPr>
        <w:lastRenderedPageBreak/>
        <w:t>Совет координировал деятельность этих учреждений для обеспечения эффективного сотрудничества между ними.</w:t>
      </w:r>
    </w:p>
    <w:p w:rsidR="00986F2F" w:rsidRDefault="00986F2F" w:rsidP="00986F2F">
      <w:pPr>
        <w:spacing w:line="360" w:lineRule="auto"/>
        <w:jc w:val="both"/>
        <w:rPr>
          <w:rFonts w:ascii="Times New Roman" w:hAnsi="Times New Roman"/>
          <w:sz w:val="28"/>
          <w:szCs w:val="28"/>
        </w:rPr>
      </w:pPr>
      <w:r>
        <w:rPr>
          <w:rFonts w:ascii="Times New Roman" w:hAnsi="Times New Roman"/>
          <w:sz w:val="28"/>
          <w:szCs w:val="28"/>
        </w:rPr>
        <w:tab/>
        <w:t xml:space="preserve">Резервный банк Австралии, Австралийская комиссия по ценным бумагам, Комиссия по страхованию и пенсионному обеспечению несли ответственность перед Правительством Австралии. Эти учреждения отчитывались перед главой Казначейства, который является одним из министров в Правительстве. Вместе с тем, Австралийская комиссия по финансовым институтам работала на уровне штатов и территорий и контролировалась Советом министров по финансовым институтам. </w:t>
      </w:r>
    </w:p>
    <w:p w:rsidR="00986F2F" w:rsidRDefault="00986F2F" w:rsidP="00986F2F">
      <w:pPr>
        <w:spacing w:line="360" w:lineRule="auto"/>
        <w:jc w:val="both"/>
        <w:rPr>
          <w:rFonts w:ascii="Times New Roman" w:hAnsi="Times New Roman"/>
          <w:sz w:val="28"/>
          <w:szCs w:val="28"/>
        </w:rPr>
      </w:pPr>
      <w:r>
        <w:rPr>
          <w:rFonts w:ascii="Times New Roman" w:hAnsi="Times New Roman"/>
          <w:sz w:val="28"/>
          <w:szCs w:val="28"/>
        </w:rPr>
        <w:tab/>
        <w:t xml:space="preserve">Такая фрагментированная институциональная структура надзора образовалась исторически, так как обязанности по регулированию в Австралии всегда были разделены между Правительством и надзорными органами на уровне штатов и территорий. Соответственно, существовало одиннадцать учреждений по финансовому надзору: Резервный банк Австралии, Комиссия по страхованию и пенсионному обеспечению, Австралийская комиссия по ценным бумагам, а также восемь надзорных органов на уровне штатов и территорий, подчиняющихся Австралийской комиссии по финансовым институтам. </w:t>
      </w:r>
    </w:p>
    <w:p w:rsidR="00986F2F" w:rsidRDefault="00986F2F" w:rsidP="00986F2F">
      <w:pPr>
        <w:spacing w:line="360" w:lineRule="auto"/>
        <w:jc w:val="both"/>
        <w:rPr>
          <w:rFonts w:ascii="Times New Roman" w:hAnsi="Times New Roman"/>
          <w:b/>
          <w:sz w:val="28"/>
          <w:szCs w:val="28"/>
        </w:rPr>
      </w:pPr>
    </w:p>
    <w:p w:rsidR="00986F2F" w:rsidRDefault="00986F2F" w:rsidP="00986F2F">
      <w:pPr>
        <w:spacing w:line="360" w:lineRule="auto"/>
        <w:jc w:val="both"/>
        <w:rPr>
          <w:rFonts w:ascii="Times New Roman" w:hAnsi="Times New Roman"/>
          <w:b/>
          <w:sz w:val="28"/>
          <w:szCs w:val="28"/>
        </w:rPr>
      </w:pPr>
      <w:r>
        <w:rPr>
          <w:rFonts w:ascii="Times New Roman" w:hAnsi="Times New Roman"/>
          <w:b/>
          <w:sz w:val="28"/>
          <w:szCs w:val="28"/>
        </w:rPr>
        <w:t>1.4. Необходимость реформирования системы регулирования</w:t>
      </w:r>
    </w:p>
    <w:p w:rsidR="00986F2F" w:rsidRDefault="00986F2F" w:rsidP="00986F2F">
      <w:pPr>
        <w:spacing w:line="360" w:lineRule="auto"/>
        <w:jc w:val="both"/>
        <w:rPr>
          <w:rFonts w:ascii="Times New Roman" w:hAnsi="Times New Roman"/>
          <w:sz w:val="28"/>
          <w:szCs w:val="28"/>
        </w:rPr>
      </w:pPr>
    </w:p>
    <w:p w:rsidR="00986F2F" w:rsidRDefault="00986F2F" w:rsidP="00986F2F">
      <w:pPr>
        <w:spacing w:line="360" w:lineRule="auto"/>
        <w:jc w:val="both"/>
        <w:rPr>
          <w:rFonts w:ascii="Times New Roman" w:hAnsi="Times New Roman"/>
          <w:sz w:val="28"/>
          <w:szCs w:val="28"/>
        </w:rPr>
      </w:pPr>
      <w:r>
        <w:rPr>
          <w:rFonts w:ascii="Times New Roman" w:hAnsi="Times New Roman"/>
          <w:sz w:val="28"/>
          <w:szCs w:val="28"/>
        </w:rPr>
        <w:tab/>
        <w:t xml:space="preserve">В 1998 году по решению организации по исследованию финансовой системы была проведена реформа, заменившая институциональную структуру регулирования финансового рынка Австралии системой с разделением полномочий по функциональному принципу. Столь кардинальные изменения не были следствием провалов рынка или международного давления. Рассмотрев систему регулирования финансового </w:t>
      </w:r>
      <w:r>
        <w:rPr>
          <w:rFonts w:ascii="Times New Roman" w:hAnsi="Times New Roman"/>
          <w:sz w:val="28"/>
          <w:szCs w:val="28"/>
        </w:rPr>
        <w:lastRenderedPageBreak/>
        <w:t xml:space="preserve">рынка до введения двух новых регуляторов согласно модели </w:t>
      </w:r>
      <w:r>
        <w:rPr>
          <w:rFonts w:ascii="Times New Roman" w:hAnsi="Times New Roman"/>
          <w:sz w:val="28"/>
          <w:szCs w:val="28"/>
          <w:lang w:val="en-US"/>
        </w:rPr>
        <w:t>Twin</w:t>
      </w:r>
      <w:r w:rsidRPr="00EC06C2">
        <w:rPr>
          <w:rFonts w:ascii="Times New Roman" w:hAnsi="Times New Roman"/>
          <w:sz w:val="28"/>
          <w:szCs w:val="28"/>
        </w:rPr>
        <w:t xml:space="preserve"> </w:t>
      </w:r>
      <w:r>
        <w:rPr>
          <w:rFonts w:ascii="Times New Roman" w:hAnsi="Times New Roman"/>
          <w:sz w:val="28"/>
          <w:szCs w:val="28"/>
          <w:lang w:val="en-US"/>
        </w:rPr>
        <w:t>Peaks</w:t>
      </w:r>
      <w:r>
        <w:rPr>
          <w:rFonts w:ascii="Times New Roman" w:hAnsi="Times New Roman"/>
          <w:sz w:val="28"/>
          <w:szCs w:val="28"/>
        </w:rPr>
        <w:t xml:space="preserve">, можно отметить, что существовало большое количество организаций, функционировавших на федеральном уровне и уровнях штатов и территорий, однако нельзя однозначно утверждать, что их деятельность была неэффективной. Можно сделать вывод, что смена системы регулирования без естественных на то причин была случаем государственного вмешательства. </w:t>
      </w:r>
    </w:p>
    <w:p w:rsidR="00986F2F" w:rsidRDefault="00986F2F" w:rsidP="00986F2F">
      <w:pPr>
        <w:spacing w:line="36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Согласно </w:t>
      </w:r>
      <w:proofErr w:type="spellStart"/>
      <w:r>
        <w:rPr>
          <w:rFonts w:ascii="Times New Roman" w:hAnsi="Times New Roman"/>
          <w:sz w:val="28"/>
          <w:szCs w:val="28"/>
        </w:rPr>
        <w:t>Канеру</w:t>
      </w:r>
      <w:proofErr w:type="spellEnd"/>
      <w:r>
        <w:rPr>
          <w:rFonts w:ascii="Times New Roman" w:hAnsi="Times New Roman"/>
          <w:sz w:val="28"/>
          <w:szCs w:val="28"/>
        </w:rPr>
        <w:t xml:space="preserve"> </w:t>
      </w:r>
      <w:proofErr w:type="spellStart"/>
      <w:r>
        <w:rPr>
          <w:rFonts w:ascii="Times New Roman" w:hAnsi="Times New Roman"/>
          <w:sz w:val="28"/>
          <w:szCs w:val="28"/>
        </w:rPr>
        <w:t>Бакеру</w:t>
      </w:r>
      <w:proofErr w:type="spellEnd"/>
      <w:r>
        <w:rPr>
          <w:rFonts w:ascii="Times New Roman" w:hAnsi="Times New Roman"/>
          <w:sz w:val="28"/>
          <w:szCs w:val="28"/>
        </w:rPr>
        <w:t>, существует два вида государственной политики в области финансового регулирования: «управление без правительства», предполагающее самостоятельную горизонтальную координацию деятельности между ключевыми государственными и общественными организациями, а также «управление вместе с правительством» или «иерархичное управление», когда решение общественных и экономических вопросов выносится из центра</w:t>
      </w:r>
      <w:r>
        <w:rPr>
          <w:rStyle w:val="ab"/>
          <w:sz w:val="28"/>
          <w:szCs w:val="28"/>
        </w:rPr>
        <w:footnoteReference w:id="1"/>
      </w:r>
      <w:r>
        <w:rPr>
          <w:rFonts w:ascii="Times New Roman" w:hAnsi="Times New Roman"/>
          <w:sz w:val="28"/>
          <w:szCs w:val="28"/>
        </w:rPr>
        <w:t>. В соответствии с этой теорией, можно предположить, что в Австралии применили второй вариант управления, и что</w:t>
      </w:r>
      <w:proofErr w:type="gramEnd"/>
      <w:r>
        <w:rPr>
          <w:rFonts w:ascii="Times New Roman" w:hAnsi="Times New Roman"/>
          <w:sz w:val="28"/>
          <w:szCs w:val="28"/>
        </w:rPr>
        <w:t xml:space="preserve"> государство осуществило внедрение новой системы, необходимости в которой не было. </w:t>
      </w:r>
    </w:p>
    <w:p w:rsidR="00986F2F" w:rsidRDefault="00986F2F" w:rsidP="00986F2F">
      <w:pPr>
        <w:spacing w:line="360" w:lineRule="auto"/>
        <w:ind w:firstLine="708"/>
        <w:jc w:val="both"/>
        <w:rPr>
          <w:rFonts w:ascii="Times New Roman" w:hAnsi="Times New Roman"/>
          <w:sz w:val="28"/>
          <w:szCs w:val="28"/>
        </w:rPr>
      </w:pPr>
      <w:r>
        <w:rPr>
          <w:rFonts w:ascii="Times New Roman" w:hAnsi="Times New Roman"/>
          <w:sz w:val="28"/>
          <w:szCs w:val="28"/>
        </w:rPr>
        <w:t xml:space="preserve">Внутри финансового сообщества возникли споры, стоит ли менять существующую систему на функциональную с созданием новых регуляторов и упразднением большого числа предыдущих учреждений, или же стоит сохранить институциональную организацию с участием Резервного банка Австралии в банковском надзоре. К сторонникам существовавшей модели относились один из крупнейших банков страны, две влиятельные страховые компании, Резервный банк Австралии, Комиссия по страхованию и пенсионному обеспечению, Австралийская комиссия по ценным бумагам, Австралийская комиссия по финансовым институтам. Три не менее важных банка поддержали введение системы </w:t>
      </w:r>
      <w:r>
        <w:rPr>
          <w:rFonts w:ascii="Times New Roman" w:hAnsi="Times New Roman"/>
          <w:sz w:val="28"/>
          <w:szCs w:val="28"/>
          <w:lang w:val="en-US"/>
        </w:rPr>
        <w:t>Twin</w:t>
      </w:r>
      <w:r w:rsidRPr="00EC06C2">
        <w:rPr>
          <w:rFonts w:ascii="Times New Roman" w:hAnsi="Times New Roman"/>
          <w:sz w:val="28"/>
          <w:szCs w:val="28"/>
        </w:rPr>
        <w:t xml:space="preserve"> </w:t>
      </w:r>
      <w:r>
        <w:rPr>
          <w:rFonts w:ascii="Times New Roman" w:hAnsi="Times New Roman"/>
          <w:sz w:val="28"/>
          <w:szCs w:val="28"/>
          <w:lang w:val="en-US"/>
        </w:rPr>
        <w:t>Peaks</w:t>
      </w:r>
      <w:r>
        <w:rPr>
          <w:rFonts w:ascii="Times New Roman" w:hAnsi="Times New Roman"/>
          <w:sz w:val="28"/>
          <w:szCs w:val="28"/>
        </w:rPr>
        <w:t xml:space="preserve">. Таким образом, между ключевыми игроками частного сектора и финансового сообщества не было </w:t>
      </w:r>
      <w:r>
        <w:rPr>
          <w:rFonts w:ascii="Times New Roman" w:hAnsi="Times New Roman"/>
          <w:sz w:val="28"/>
          <w:szCs w:val="28"/>
        </w:rPr>
        <w:lastRenderedPageBreak/>
        <w:t xml:space="preserve">достигнуто консенсуса. Более того, большинство влиятельных институтов рынка выступили против перехода на новую модель регулирования рынка. </w:t>
      </w:r>
    </w:p>
    <w:p w:rsidR="00986F2F" w:rsidRDefault="00986F2F" w:rsidP="00986F2F">
      <w:pPr>
        <w:spacing w:line="360" w:lineRule="auto"/>
        <w:jc w:val="both"/>
        <w:rPr>
          <w:rFonts w:ascii="Times New Roman" w:hAnsi="Times New Roman"/>
          <w:sz w:val="20"/>
          <w:szCs w:val="20"/>
        </w:rPr>
      </w:pPr>
      <w:r>
        <w:rPr>
          <w:noProof/>
          <w:lang w:eastAsia="ru-RU"/>
        </w:rPr>
        <mc:AlternateContent>
          <mc:Choice Requires="wps">
            <w:drawing>
              <wp:anchor distT="0" distB="0" distL="114300" distR="114300" simplePos="0" relativeHeight="251659264" behindDoc="0" locked="0" layoutInCell="1" allowOverlap="1" wp14:anchorId="5B27BA8A" wp14:editId="1E2C30C1">
                <wp:simplePos x="0" y="0"/>
                <wp:positionH relativeFrom="column">
                  <wp:posOffset>-8255</wp:posOffset>
                </wp:positionH>
                <wp:positionV relativeFrom="paragraph">
                  <wp:posOffset>70485</wp:posOffset>
                </wp:positionV>
                <wp:extent cx="5940425" cy="228600"/>
                <wp:effectExtent l="1270" t="3810" r="1905" b="0"/>
                <wp:wrapTight wrapText="bothSides">
                  <wp:wrapPolygon edited="0">
                    <wp:start x="-35" y="0"/>
                    <wp:lineTo x="-35" y="20700"/>
                    <wp:lineTo x="21600" y="20700"/>
                    <wp:lineTo x="21600" y="0"/>
                    <wp:lineTo x="-35" y="0"/>
                  </wp:wrapPolygon>
                </wp:wrapTigh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Default="00DA0396" w:rsidP="00986F2F">
                            <w:pPr>
                              <w:pStyle w:val="aa"/>
                              <w:jc w:val="center"/>
                              <w:rPr>
                                <w:rFonts w:ascii="Times New Roman" w:hAnsi="Times New Roman"/>
                                <w:color w:val="auto"/>
                                <w:sz w:val="24"/>
                                <w:szCs w:val="24"/>
                              </w:rPr>
                            </w:pPr>
                            <w:r>
                              <w:rPr>
                                <w:rFonts w:ascii="Times New Roman" w:hAnsi="Times New Roman"/>
                                <w:color w:val="auto"/>
                                <w:sz w:val="24"/>
                                <w:szCs w:val="24"/>
                              </w:rPr>
                              <w:t>Таблица 2: Конфликт в банковском секторе при введении новой системы</w:t>
                            </w:r>
                          </w:p>
                          <w:p w:rsidR="00DA0396" w:rsidRDefault="00DA0396" w:rsidP="00986F2F">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left:0;text-align:left;margin-left:-.65pt;margin-top:5.55pt;width:467.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" stroked="f">
                <v:textbox inset="0,0,0,0">
                  <w:txbxContent>
                    <w:p w:rsidR="00DA0396" w:rsidRDefault="00DA0396" w:rsidP="00986F2F">
                      <w:pPr>
                        <w:pStyle w:val="aa"/>
                        <w:jc w:val="center"/>
                        <w:rPr>
                          <w:rFonts w:ascii="Times New Roman" w:hAnsi="Times New Roman"/>
                          <w:color w:val="auto"/>
                          <w:sz w:val="24"/>
                          <w:szCs w:val="24"/>
                        </w:rPr>
                      </w:pPr>
                      <w:r>
                        <w:rPr>
                          <w:rFonts w:ascii="Times New Roman" w:hAnsi="Times New Roman"/>
                          <w:color w:val="auto"/>
                          <w:sz w:val="24"/>
                          <w:szCs w:val="24"/>
                        </w:rPr>
                        <w:t>Таблица 2: Конфликт в банковском секторе при введении новой системы</w:t>
                      </w:r>
                    </w:p>
                    <w:p w:rsidR="00DA0396" w:rsidRDefault="00DA0396" w:rsidP="00986F2F">
                      <w:pPr>
                        <w:jc w:val="center"/>
                      </w:pPr>
                    </w:p>
                  </w:txbxContent>
                </v:textbox>
                <w10:wrap type="tight"/>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986F2F" w:rsidTr="00DA0396">
        <w:tc>
          <w:tcPr>
            <w:tcW w:w="4785" w:type="dxa"/>
            <w:tcBorders>
              <w:top w:val="single" w:sz="4" w:space="0" w:color="000000"/>
              <w:left w:val="single" w:sz="4" w:space="0" w:color="000000"/>
              <w:bottom w:val="single" w:sz="4" w:space="0" w:color="000000"/>
              <w:right w:val="single" w:sz="4" w:space="0" w:color="000000"/>
            </w:tcBorders>
            <w:hideMark/>
          </w:tcPr>
          <w:p w:rsidR="00986F2F" w:rsidRDefault="00986F2F" w:rsidP="00DA0396">
            <w:pPr>
              <w:spacing w:line="360" w:lineRule="auto"/>
              <w:jc w:val="center"/>
              <w:rPr>
                <w:rFonts w:ascii="Times New Roman" w:hAnsi="Times New Roman"/>
                <w:b/>
                <w:sz w:val="28"/>
                <w:szCs w:val="28"/>
                <w:lang w:val="en-US"/>
              </w:rPr>
            </w:pPr>
            <w:r>
              <w:rPr>
                <w:rFonts w:ascii="Times New Roman" w:hAnsi="Times New Roman"/>
                <w:b/>
                <w:sz w:val="28"/>
                <w:szCs w:val="28"/>
              </w:rPr>
              <w:t xml:space="preserve">Сторонники системы </w:t>
            </w:r>
            <w:r>
              <w:rPr>
                <w:rFonts w:ascii="Times New Roman" w:hAnsi="Times New Roman"/>
                <w:b/>
                <w:sz w:val="28"/>
                <w:szCs w:val="28"/>
                <w:lang w:val="en-US"/>
              </w:rPr>
              <w:t>Twin Peaks</w:t>
            </w:r>
          </w:p>
        </w:tc>
        <w:tc>
          <w:tcPr>
            <w:tcW w:w="4786" w:type="dxa"/>
            <w:tcBorders>
              <w:top w:val="single" w:sz="4" w:space="0" w:color="000000"/>
              <w:left w:val="single" w:sz="4" w:space="0" w:color="000000"/>
              <w:bottom w:val="single" w:sz="4" w:space="0" w:color="000000"/>
              <w:right w:val="single" w:sz="4" w:space="0" w:color="000000"/>
            </w:tcBorders>
            <w:hideMark/>
          </w:tcPr>
          <w:p w:rsidR="00986F2F" w:rsidRDefault="00986F2F" w:rsidP="00DA0396">
            <w:pPr>
              <w:spacing w:line="360" w:lineRule="auto"/>
              <w:jc w:val="center"/>
              <w:rPr>
                <w:rFonts w:ascii="Times New Roman" w:hAnsi="Times New Roman"/>
                <w:b/>
                <w:sz w:val="28"/>
                <w:szCs w:val="28"/>
              </w:rPr>
            </w:pPr>
            <w:r>
              <w:rPr>
                <w:rFonts w:ascii="Times New Roman" w:hAnsi="Times New Roman"/>
                <w:b/>
                <w:sz w:val="28"/>
                <w:szCs w:val="28"/>
              </w:rPr>
              <w:t xml:space="preserve">Оппоненты системы </w:t>
            </w:r>
            <w:r>
              <w:rPr>
                <w:rFonts w:ascii="Times New Roman" w:hAnsi="Times New Roman"/>
                <w:b/>
                <w:sz w:val="28"/>
                <w:szCs w:val="28"/>
                <w:lang w:val="en-US"/>
              </w:rPr>
              <w:t>Twin Peaks</w:t>
            </w:r>
          </w:p>
        </w:tc>
      </w:tr>
      <w:tr w:rsidR="00986F2F" w:rsidRPr="00DA0396" w:rsidTr="00DA0396">
        <w:tc>
          <w:tcPr>
            <w:tcW w:w="4785" w:type="dxa"/>
            <w:tcBorders>
              <w:top w:val="single" w:sz="4" w:space="0" w:color="000000"/>
              <w:left w:val="single" w:sz="4" w:space="0" w:color="000000"/>
              <w:bottom w:val="single" w:sz="4" w:space="0" w:color="000000"/>
              <w:right w:val="single" w:sz="4" w:space="0" w:color="000000"/>
            </w:tcBorders>
            <w:hideMark/>
          </w:tcPr>
          <w:p w:rsidR="00986F2F" w:rsidRDefault="00986F2F" w:rsidP="00DA0396">
            <w:pPr>
              <w:spacing w:line="360" w:lineRule="auto"/>
              <w:jc w:val="both"/>
              <w:rPr>
                <w:rFonts w:ascii="Times New Roman" w:hAnsi="Times New Roman"/>
                <w:sz w:val="28"/>
                <w:szCs w:val="28"/>
                <w:lang w:val="en-US"/>
              </w:rPr>
            </w:pPr>
            <w:r>
              <w:rPr>
                <w:rFonts w:ascii="Times New Roman" w:hAnsi="Times New Roman"/>
                <w:sz w:val="28"/>
                <w:szCs w:val="28"/>
                <w:lang w:val="en-US"/>
              </w:rPr>
              <w:t>Australian Mutual Provident Society Limited</w:t>
            </w:r>
          </w:p>
        </w:tc>
        <w:tc>
          <w:tcPr>
            <w:tcW w:w="4786" w:type="dxa"/>
            <w:tcBorders>
              <w:top w:val="single" w:sz="4" w:space="0" w:color="000000"/>
              <w:left w:val="single" w:sz="4" w:space="0" w:color="000000"/>
              <w:bottom w:val="single" w:sz="4" w:space="0" w:color="000000"/>
              <w:right w:val="single" w:sz="4" w:space="0" w:color="000000"/>
            </w:tcBorders>
            <w:hideMark/>
          </w:tcPr>
          <w:p w:rsidR="00986F2F" w:rsidRDefault="00986F2F" w:rsidP="00DA0396">
            <w:pPr>
              <w:spacing w:line="360" w:lineRule="auto"/>
              <w:jc w:val="both"/>
              <w:rPr>
                <w:rFonts w:ascii="Times New Roman" w:hAnsi="Times New Roman"/>
                <w:sz w:val="28"/>
                <w:szCs w:val="28"/>
                <w:lang w:val="en-US"/>
              </w:rPr>
            </w:pPr>
            <w:r>
              <w:rPr>
                <w:rFonts w:ascii="Times New Roman" w:hAnsi="Times New Roman"/>
                <w:sz w:val="28"/>
                <w:szCs w:val="28"/>
                <w:lang w:val="en-US"/>
              </w:rPr>
              <w:t>Australian and New Zealand Banking Group</w:t>
            </w:r>
          </w:p>
        </w:tc>
      </w:tr>
      <w:tr w:rsidR="00986F2F" w:rsidTr="00DA0396">
        <w:tc>
          <w:tcPr>
            <w:tcW w:w="4785" w:type="dxa"/>
            <w:tcBorders>
              <w:top w:val="single" w:sz="4" w:space="0" w:color="000000"/>
              <w:left w:val="single" w:sz="4" w:space="0" w:color="000000"/>
              <w:bottom w:val="single" w:sz="4" w:space="0" w:color="000000"/>
              <w:right w:val="single" w:sz="4" w:space="0" w:color="000000"/>
            </w:tcBorders>
            <w:hideMark/>
          </w:tcPr>
          <w:p w:rsidR="00986F2F" w:rsidRDefault="00986F2F" w:rsidP="00DA0396">
            <w:pPr>
              <w:spacing w:line="360" w:lineRule="auto"/>
              <w:jc w:val="both"/>
              <w:rPr>
                <w:rFonts w:ascii="Times New Roman" w:hAnsi="Times New Roman"/>
                <w:sz w:val="28"/>
                <w:szCs w:val="28"/>
                <w:lang w:val="en-US"/>
              </w:rPr>
            </w:pPr>
            <w:r>
              <w:rPr>
                <w:rFonts w:ascii="Times New Roman" w:hAnsi="Times New Roman"/>
                <w:sz w:val="28"/>
                <w:szCs w:val="28"/>
                <w:lang w:val="en-US"/>
              </w:rPr>
              <w:t>National Australia Bank</w:t>
            </w:r>
          </w:p>
        </w:tc>
        <w:tc>
          <w:tcPr>
            <w:tcW w:w="4786" w:type="dxa"/>
            <w:tcBorders>
              <w:top w:val="single" w:sz="4" w:space="0" w:color="000000"/>
              <w:left w:val="single" w:sz="4" w:space="0" w:color="000000"/>
              <w:bottom w:val="single" w:sz="4" w:space="0" w:color="000000"/>
              <w:right w:val="single" w:sz="4" w:space="0" w:color="000000"/>
            </w:tcBorders>
            <w:hideMark/>
          </w:tcPr>
          <w:p w:rsidR="00986F2F" w:rsidRDefault="00986F2F" w:rsidP="00DA0396">
            <w:pPr>
              <w:spacing w:line="360" w:lineRule="auto"/>
              <w:jc w:val="both"/>
              <w:rPr>
                <w:rFonts w:ascii="Times New Roman" w:hAnsi="Times New Roman"/>
                <w:sz w:val="28"/>
                <w:szCs w:val="28"/>
                <w:lang w:val="en-US"/>
              </w:rPr>
            </w:pPr>
            <w:r>
              <w:rPr>
                <w:rFonts w:ascii="Times New Roman" w:hAnsi="Times New Roman"/>
                <w:sz w:val="28"/>
                <w:szCs w:val="28"/>
                <w:lang w:val="en-US"/>
              </w:rPr>
              <w:t>Commonwealth Bank of Australia</w:t>
            </w:r>
          </w:p>
        </w:tc>
      </w:tr>
      <w:tr w:rsidR="00986F2F" w:rsidTr="00DA0396">
        <w:tc>
          <w:tcPr>
            <w:tcW w:w="4785" w:type="dxa"/>
            <w:tcBorders>
              <w:top w:val="single" w:sz="4" w:space="0" w:color="000000"/>
              <w:left w:val="single" w:sz="4" w:space="0" w:color="000000"/>
              <w:bottom w:val="single" w:sz="4" w:space="0" w:color="000000"/>
              <w:right w:val="single" w:sz="4" w:space="0" w:color="000000"/>
            </w:tcBorders>
            <w:hideMark/>
          </w:tcPr>
          <w:p w:rsidR="00986F2F" w:rsidRDefault="00986F2F" w:rsidP="00DA0396">
            <w:pPr>
              <w:spacing w:line="360" w:lineRule="auto"/>
              <w:jc w:val="both"/>
              <w:rPr>
                <w:rFonts w:ascii="Times New Roman" w:hAnsi="Times New Roman"/>
                <w:sz w:val="28"/>
                <w:szCs w:val="28"/>
                <w:lang w:val="en-US"/>
              </w:rPr>
            </w:pPr>
            <w:r>
              <w:rPr>
                <w:rFonts w:ascii="Times New Roman" w:hAnsi="Times New Roman"/>
                <w:sz w:val="28"/>
                <w:szCs w:val="28"/>
                <w:lang w:val="en-US"/>
              </w:rPr>
              <w:t>National Mutual Holdings Limited</w:t>
            </w:r>
          </w:p>
        </w:tc>
        <w:tc>
          <w:tcPr>
            <w:tcW w:w="4786" w:type="dxa"/>
            <w:tcBorders>
              <w:top w:val="single" w:sz="4" w:space="0" w:color="000000"/>
              <w:left w:val="single" w:sz="4" w:space="0" w:color="000000"/>
              <w:bottom w:val="single" w:sz="4" w:space="0" w:color="000000"/>
              <w:right w:val="single" w:sz="4" w:space="0" w:color="000000"/>
            </w:tcBorders>
            <w:hideMark/>
          </w:tcPr>
          <w:p w:rsidR="00986F2F" w:rsidRDefault="00986F2F" w:rsidP="00DA0396">
            <w:pPr>
              <w:spacing w:line="360" w:lineRule="auto"/>
              <w:jc w:val="both"/>
              <w:rPr>
                <w:rFonts w:ascii="Times New Roman" w:hAnsi="Times New Roman"/>
                <w:sz w:val="28"/>
                <w:szCs w:val="28"/>
                <w:lang w:val="en-US"/>
              </w:rPr>
            </w:pPr>
            <w:r>
              <w:rPr>
                <w:rFonts w:ascii="Times New Roman" w:hAnsi="Times New Roman"/>
                <w:sz w:val="28"/>
                <w:szCs w:val="28"/>
                <w:lang w:val="en-US"/>
              </w:rPr>
              <w:t>Westpac Banking Corporation</w:t>
            </w:r>
          </w:p>
        </w:tc>
      </w:tr>
    </w:tbl>
    <w:p w:rsidR="00986F2F" w:rsidRDefault="00986F2F" w:rsidP="00986F2F">
      <w:pPr>
        <w:spacing w:line="360" w:lineRule="auto"/>
        <w:jc w:val="both"/>
        <w:rPr>
          <w:rFonts w:ascii="Times New Roman" w:hAnsi="Times New Roman"/>
          <w:sz w:val="28"/>
          <w:szCs w:val="28"/>
        </w:rPr>
      </w:pPr>
      <w:r>
        <w:rPr>
          <w:noProof/>
          <w:lang w:eastAsia="ru-RU"/>
        </w:rPr>
        <mc:AlternateContent>
          <mc:Choice Requires="wps">
            <w:drawing>
              <wp:anchor distT="0" distB="0" distL="114300" distR="114300" simplePos="0" relativeHeight="251660288" behindDoc="0" locked="0" layoutInCell="1" allowOverlap="1" wp14:anchorId="20570FD1" wp14:editId="47068524">
                <wp:simplePos x="0" y="0"/>
                <wp:positionH relativeFrom="column">
                  <wp:posOffset>29845</wp:posOffset>
                </wp:positionH>
                <wp:positionV relativeFrom="paragraph">
                  <wp:posOffset>298450</wp:posOffset>
                </wp:positionV>
                <wp:extent cx="5940425" cy="409575"/>
                <wp:effectExtent l="1270" t="3175" r="1905" b="0"/>
                <wp:wrapTight wrapText="bothSides">
                  <wp:wrapPolygon edited="0">
                    <wp:start x="-35" y="0"/>
                    <wp:lineTo x="-35" y="21098"/>
                    <wp:lineTo x="21600" y="21098"/>
                    <wp:lineTo x="21600" y="0"/>
                    <wp:lineTo x="-35" y="0"/>
                  </wp:wrapPolygon>
                </wp:wrapTigh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Default="00DA0396" w:rsidP="00986F2F">
                            <w:pPr>
                              <w:pStyle w:val="aa"/>
                              <w:jc w:val="right"/>
                              <w:rPr>
                                <w:rFonts w:ascii="Times New Roman" w:hAnsi="Times New Roman"/>
                                <w:noProof/>
                                <w:color w:val="auto"/>
                                <w:sz w:val="20"/>
                                <w:szCs w:val="20"/>
                                <w:lang w:val="en-US"/>
                              </w:rPr>
                            </w:pPr>
                            <w:r>
                              <w:rPr>
                                <w:rFonts w:ascii="Times New Roman" w:hAnsi="Times New Roman"/>
                                <w:color w:val="auto"/>
                                <w:sz w:val="20"/>
                                <w:szCs w:val="20"/>
                              </w:rPr>
                              <w:t>Источник</w:t>
                            </w:r>
                            <w:r>
                              <w:rPr>
                                <w:rFonts w:ascii="Times New Roman" w:hAnsi="Times New Roman"/>
                                <w:color w:val="auto"/>
                                <w:sz w:val="20"/>
                                <w:szCs w:val="20"/>
                                <w:lang w:val="en-US"/>
                              </w:rPr>
                              <w:t xml:space="preserve">: Caner </w:t>
                            </w:r>
                            <w:proofErr w:type="spellStart"/>
                            <w:r>
                              <w:rPr>
                                <w:rFonts w:ascii="Times New Roman" w:hAnsi="Times New Roman"/>
                                <w:color w:val="auto"/>
                                <w:sz w:val="20"/>
                                <w:szCs w:val="20"/>
                                <w:lang w:val="en-US"/>
                              </w:rPr>
                              <w:t>Bakir</w:t>
                            </w:r>
                            <w:proofErr w:type="spellEnd"/>
                            <w:r>
                              <w:rPr>
                                <w:rFonts w:ascii="Times New Roman" w:hAnsi="Times New Roman"/>
                                <w:color w:val="auto"/>
                                <w:sz w:val="20"/>
                                <w:szCs w:val="20"/>
                                <w:lang w:val="en-US"/>
                              </w:rPr>
                              <w:t>, «The governance of financial regulatory reform: the Australian experience», 2009, p. 915.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 o:spid="_x0000_s1029" type="#_x0000_t202" style="position:absolute;left:0;text-align:left;margin-left:2.35pt;margin-top:23.5pt;width:467.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" stroked="f">
                <v:textbox style="mso-fit-shape-to-text:t" inset="0,0,0,0">
                  <w:txbxContent>
                    <w:p w:rsidR="00DA0396" w:rsidRDefault="00DA0396" w:rsidP="00986F2F">
                      <w:pPr>
                        <w:pStyle w:val="aa"/>
                        <w:jc w:val="right"/>
                        <w:rPr>
                          <w:rFonts w:ascii="Times New Roman" w:hAnsi="Times New Roman"/>
                          <w:noProof/>
                          <w:color w:val="auto"/>
                          <w:sz w:val="20"/>
                          <w:szCs w:val="20"/>
                          <w:lang w:val="en-US"/>
                        </w:rPr>
                      </w:pPr>
                      <w:r>
                        <w:rPr>
                          <w:rFonts w:ascii="Times New Roman" w:hAnsi="Times New Roman"/>
                          <w:color w:val="auto"/>
                          <w:sz w:val="20"/>
                          <w:szCs w:val="20"/>
                        </w:rPr>
                        <w:t>Источник</w:t>
                      </w:r>
                      <w:r>
                        <w:rPr>
                          <w:rFonts w:ascii="Times New Roman" w:hAnsi="Times New Roman"/>
                          <w:color w:val="auto"/>
                          <w:sz w:val="20"/>
                          <w:szCs w:val="20"/>
                          <w:lang w:val="en-US"/>
                        </w:rPr>
                        <w:t xml:space="preserve">: Caner </w:t>
                      </w:r>
                      <w:proofErr w:type="spellStart"/>
                      <w:r>
                        <w:rPr>
                          <w:rFonts w:ascii="Times New Roman" w:hAnsi="Times New Roman"/>
                          <w:color w:val="auto"/>
                          <w:sz w:val="20"/>
                          <w:szCs w:val="20"/>
                          <w:lang w:val="en-US"/>
                        </w:rPr>
                        <w:t>Bakir</w:t>
                      </w:r>
                      <w:proofErr w:type="spellEnd"/>
                      <w:r>
                        <w:rPr>
                          <w:rFonts w:ascii="Times New Roman" w:hAnsi="Times New Roman"/>
                          <w:color w:val="auto"/>
                          <w:sz w:val="20"/>
                          <w:szCs w:val="20"/>
                          <w:lang w:val="en-US"/>
                        </w:rPr>
                        <w:t>, «The governance of financial regulatory reform: the Australian experience», 2009, p. 915.</w:t>
                      </w:r>
                    </w:p>
                  </w:txbxContent>
                </v:textbox>
                <w10:wrap type="tight"/>
              </v:shape>
            </w:pict>
          </mc:Fallback>
        </mc:AlternateContent>
      </w:r>
      <w:r>
        <w:rPr>
          <w:rFonts w:ascii="Times New Roman" w:hAnsi="Times New Roman"/>
          <w:sz w:val="28"/>
          <w:szCs w:val="28"/>
        </w:rPr>
        <w:tab/>
      </w:r>
      <w:r>
        <w:rPr>
          <w:rFonts w:ascii="Times New Roman" w:hAnsi="Times New Roman"/>
          <w:sz w:val="28"/>
          <w:szCs w:val="28"/>
          <w:lang w:val="en-US"/>
        </w:rPr>
        <w:tab/>
        <w:t xml:space="preserve"> </w:t>
      </w:r>
    </w:p>
    <w:p w:rsidR="00986F2F" w:rsidRDefault="00986F2F" w:rsidP="00986F2F">
      <w:pPr>
        <w:spacing w:line="360" w:lineRule="auto"/>
        <w:jc w:val="both"/>
        <w:rPr>
          <w:rFonts w:ascii="Times New Roman" w:hAnsi="Times New Roman"/>
          <w:sz w:val="28"/>
          <w:szCs w:val="28"/>
        </w:rPr>
      </w:pPr>
      <w:r>
        <w:rPr>
          <w:rFonts w:ascii="Times New Roman" w:hAnsi="Times New Roman"/>
          <w:sz w:val="28"/>
          <w:szCs w:val="28"/>
        </w:rPr>
        <w:tab/>
        <w:t xml:space="preserve">Казначейство не участвовало в осуществлении регулирования финансовых институтов страны, однако влияние этого учреждения в процессе перехода к новой модели оказалось определяющим. Мнение Казначейства было важным по ряду причин. Во-первых, исторически сложилось, что Казначейство является основным контролирующим финансовым органом в стране, ответственным за устойчивое экономическое развитие. Во-вторых, оно относительно изолировано от игроков частного сектора и финансового сообщества, то есть его мнение можно считать справедливым. В-третьих, Казначейство стремится гарантировать экономическое процветание и благосостояние жителей Австралии, поэтому основывается на интересах общества вцелом. </w:t>
      </w:r>
    </w:p>
    <w:p w:rsidR="00986F2F" w:rsidRDefault="00986F2F" w:rsidP="00986F2F">
      <w:pPr>
        <w:spacing w:line="360" w:lineRule="auto"/>
        <w:ind w:firstLine="708"/>
        <w:jc w:val="both"/>
        <w:rPr>
          <w:rFonts w:ascii="Times New Roman" w:hAnsi="Times New Roman"/>
          <w:sz w:val="28"/>
          <w:szCs w:val="28"/>
        </w:rPr>
      </w:pPr>
      <w:proofErr w:type="gramStart"/>
      <w:r>
        <w:rPr>
          <w:rFonts w:ascii="Times New Roman" w:hAnsi="Times New Roman"/>
          <w:sz w:val="28"/>
          <w:szCs w:val="28"/>
        </w:rPr>
        <w:t xml:space="preserve">По мнению Казначейства, организацию финансового регулирования Австралии было нужно адаптировать к другим действующим международным системам, чтобы продолжать привлекать всё больше иностранных инвестиций в национальную экономику, необходимых для </w:t>
      </w:r>
      <w:r>
        <w:rPr>
          <w:rFonts w:ascii="Times New Roman" w:hAnsi="Times New Roman"/>
          <w:sz w:val="28"/>
          <w:szCs w:val="28"/>
        </w:rPr>
        <w:lastRenderedPageBreak/>
        <w:t>поддержания устойчивого экономического роста, и чтобы австралийские банки не были в неблагоприятном положении с точки зрения их конкурентоспособности на международном уровне</w:t>
      </w:r>
      <w:r>
        <w:rPr>
          <w:rStyle w:val="ab"/>
          <w:sz w:val="28"/>
          <w:szCs w:val="28"/>
        </w:rPr>
        <w:footnoteReference w:id="2"/>
      </w:r>
      <w:r>
        <w:rPr>
          <w:rFonts w:ascii="Times New Roman" w:hAnsi="Times New Roman"/>
          <w:sz w:val="28"/>
          <w:szCs w:val="28"/>
        </w:rPr>
        <w:t>. Механизмы регулирования, использовавшиеся на тот момент, становились неэффективными в условиях постоянных структурных</w:t>
      </w:r>
      <w:proofErr w:type="gramEnd"/>
      <w:r>
        <w:rPr>
          <w:rFonts w:ascii="Times New Roman" w:hAnsi="Times New Roman"/>
          <w:sz w:val="28"/>
          <w:szCs w:val="28"/>
        </w:rPr>
        <w:t xml:space="preserve"> изменений на финансовых рынках. Большое количество организаций, функционировавших на федеральном уровне и уровнях штатов и территорий, вызывало </w:t>
      </w:r>
      <w:proofErr w:type="gramStart"/>
      <w:r>
        <w:rPr>
          <w:rFonts w:ascii="Times New Roman" w:hAnsi="Times New Roman"/>
          <w:sz w:val="28"/>
          <w:szCs w:val="28"/>
        </w:rPr>
        <w:t>излишнюю</w:t>
      </w:r>
      <w:proofErr w:type="gramEnd"/>
      <w:r>
        <w:rPr>
          <w:rFonts w:ascii="Times New Roman" w:hAnsi="Times New Roman"/>
          <w:sz w:val="28"/>
          <w:szCs w:val="28"/>
        </w:rPr>
        <w:t xml:space="preserve"> </w:t>
      </w:r>
      <w:proofErr w:type="spellStart"/>
      <w:r>
        <w:rPr>
          <w:rFonts w:ascii="Times New Roman" w:hAnsi="Times New Roman"/>
          <w:sz w:val="28"/>
          <w:szCs w:val="28"/>
        </w:rPr>
        <w:t>зарегулированность</w:t>
      </w:r>
      <w:proofErr w:type="spellEnd"/>
      <w:r>
        <w:rPr>
          <w:rFonts w:ascii="Times New Roman" w:hAnsi="Times New Roman"/>
          <w:sz w:val="28"/>
          <w:szCs w:val="28"/>
        </w:rPr>
        <w:t xml:space="preserve"> рынка и создавало возможности для регулятивного арбитража. Так как действовавшие регулятивные нормы не соответствовали современным рыночным тенденциям, доверие к надзорным органам постепенно уменьшалось. В частности, дочерние предприятия крупных конгломератов контролировались разными регулирующими учреждениями, однако ни одно из них не несло ответственности за деятельность всего конгломерата, в </w:t>
      </w:r>
      <w:proofErr w:type="gramStart"/>
      <w:r>
        <w:rPr>
          <w:rFonts w:ascii="Times New Roman" w:hAnsi="Times New Roman"/>
          <w:sz w:val="28"/>
          <w:szCs w:val="28"/>
        </w:rPr>
        <w:t>связи</w:t>
      </w:r>
      <w:proofErr w:type="gramEnd"/>
      <w:r>
        <w:rPr>
          <w:rFonts w:ascii="Times New Roman" w:hAnsi="Times New Roman"/>
          <w:sz w:val="28"/>
          <w:szCs w:val="28"/>
        </w:rPr>
        <w:t xml:space="preserve"> с чем надежность этих учреждений стала сомнительной. </w:t>
      </w:r>
    </w:p>
    <w:p w:rsidR="00986F2F" w:rsidRDefault="00986F2F" w:rsidP="00986F2F">
      <w:pPr>
        <w:spacing w:line="360" w:lineRule="auto"/>
        <w:ind w:firstLine="708"/>
        <w:jc w:val="both"/>
        <w:rPr>
          <w:rFonts w:ascii="Times New Roman" w:hAnsi="Times New Roman"/>
          <w:sz w:val="28"/>
          <w:szCs w:val="28"/>
        </w:rPr>
      </w:pPr>
      <w:r>
        <w:rPr>
          <w:rFonts w:ascii="Times New Roman" w:hAnsi="Times New Roman"/>
          <w:sz w:val="28"/>
          <w:szCs w:val="28"/>
        </w:rPr>
        <w:t xml:space="preserve">Таким образом, наблюдался явный конфликт между большим количеством действующих регулятивных органов, выступавших против изменения структуры регулирования, и Казначейством, рекомендовавшим переход на функциональное разделение полномочий в финансовом надзоре. В сложившейся ситуации вмешательство государства было единственным решением, однако позиция Казначейства по данному вопросу также имела большое значение. Решение государства перейти на систему </w:t>
      </w:r>
      <w:r>
        <w:rPr>
          <w:rFonts w:ascii="Times New Roman" w:hAnsi="Times New Roman"/>
          <w:sz w:val="28"/>
          <w:szCs w:val="28"/>
          <w:lang w:val="en-US"/>
        </w:rPr>
        <w:t>Twin</w:t>
      </w:r>
      <w:r w:rsidRPr="00EC06C2">
        <w:rPr>
          <w:rFonts w:ascii="Times New Roman" w:hAnsi="Times New Roman"/>
          <w:sz w:val="28"/>
          <w:szCs w:val="28"/>
        </w:rPr>
        <w:t xml:space="preserve"> </w:t>
      </w:r>
      <w:r>
        <w:rPr>
          <w:rFonts w:ascii="Times New Roman" w:hAnsi="Times New Roman"/>
          <w:sz w:val="28"/>
          <w:szCs w:val="28"/>
          <w:lang w:val="en-US"/>
        </w:rPr>
        <w:t>Peaks</w:t>
      </w:r>
      <w:r w:rsidRPr="00EC06C2">
        <w:rPr>
          <w:rFonts w:ascii="Times New Roman" w:hAnsi="Times New Roman"/>
          <w:sz w:val="28"/>
          <w:szCs w:val="28"/>
        </w:rPr>
        <w:t xml:space="preserve"> </w:t>
      </w:r>
      <w:r>
        <w:rPr>
          <w:rFonts w:ascii="Times New Roman" w:hAnsi="Times New Roman"/>
          <w:sz w:val="28"/>
          <w:szCs w:val="28"/>
        </w:rPr>
        <w:t xml:space="preserve">свидетельствует о том, что Правительство Австралии является ключевым игроком рынка. </w:t>
      </w:r>
      <w:proofErr w:type="gramStart"/>
      <w:r>
        <w:rPr>
          <w:rFonts w:ascii="Times New Roman" w:hAnsi="Times New Roman"/>
          <w:sz w:val="28"/>
          <w:szCs w:val="28"/>
        </w:rPr>
        <w:t>Оно активно вовлечено в процессы финансового регулирования и стремится заменить успешно функционирующую модель на еще более эффективную, основываясь на интересах общества вцелом.</w:t>
      </w:r>
      <w:proofErr w:type="gramEnd"/>
    </w:p>
    <w:p w:rsidR="00986F2F" w:rsidRDefault="00986F2F" w:rsidP="00986F2F">
      <w:pPr>
        <w:spacing w:line="360" w:lineRule="auto"/>
        <w:ind w:firstLine="708"/>
        <w:jc w:val="both"/>
        <w:rPr>
          <w:rFonts w:ascii="Times New Roman" w:hAnsi="Times New Roman"/>
          <w:sz w:val="28"/>
          <w:szCs w:val="28"/>
        </w:rPr>
      </w:pPr>
    </w:p>
    <w:p w:rsidR="00986F2F" w:rsidRDefault="00986F2F" w:rsidP="00986F2F">
      <w:pPr>
        <w:spacing w:line="360" w:lineRule="auto"/>
        <w:jc w:val="both"/>
        <w:rPr>
          <w:rFonts w:ascii="Times New Roman" w:hAnsi="Times New Roman"/>
          <w:b/>
          <w:sz w:val="28"/>
          <w:szCs w:val="28"/>
        </w:rPr>
      </w:pPr>
      <w:r>
        <w:rPr>
          <w:rFonts w:ascii="Times New Roman" w:hAnsi="Times New Roman"/>
          <w:b/>
          <w:sz w:val="28"/>
          <w:szCs w:val="28"/>
        </w:rPr>
        <w:lastRenderedPageBreak/>
        <w:t>1.5. Саморегулирование на австралийском рынке</w:t>
      </w:r>
    </w:p>
    <w:p w:rsidR="00986F2F" w:rsidRPr="008131C9" w:rsidRDefault="00986F2F" w:rsidP="00986F2F">
      <w:pPr>
        <w:spacing w:line="360" w:lineRule="auto"/>
        <w:jc w:val="both"/>
        <w:rPr>
          <w:rFonts w:ascii="Times New Roman" w:hAnsi="Times New Roman"/>
          <w:b/>
          <w:sz w:val="28"/>
          <w:szCs w:val="28"/>
        </w:rPr>
      </w:pPr>
    </w:p>
    <w:p w:rsidR="00986F2F" w:rsidRDefault="00986F2F" w:rsidP="00986F2F">
      <w:pPr>
        <w:spacing w:line="360" w:lineRule="auto"/>
        <w:jc w:val="both"/>
        <w:rPr>
          <w:rFonts w:ascii="Times New Roman" w:hAnsi="Times New Roman"/>
          <w:sz w:val="28"/>
          <w:szCs w:val="28"/>
        </w:rPr>
      </w:pPr>
      <w:r>
        <w:rPr>
          <w:rFonts w:ascii="Times New Roman" w:hAnsi="Times New Roman"/>
          <w:sz w:val="28"/>
          <w:szCs w:val="28"/>
        </w:rPr>
        <w:tab/>
        <w:t xml:space="preserve">Поддержание финансовой целостности рынка, защита инвесторов, обеспечение прозрачности и эффективности рынка осуществляются с помощью установления норм деловой этики и разработки кодексов профессионального поведения участников рынка. Для введения и обеспечения </w:t>
      </w:r>
      <w:proofErr w:type="gramStart"/>
      <w:r>
        <w:rPr>
          <w:rFonts w:ascii="Times New Roman" w:hAnsi="Times New Roman"/>
          <w:sz w:val="28"/>
          <w:szCs w:val="28"/>
        </w:rPr>
        <w:t>соблюдения</w:t>
      </w:r>
      <w:proofErr w:type="gramEnd"/>
      <w:r>
        <w:rPr>
          <w:rFonts w:ascii="Times New Roman" w:hAnsi="Times New Roman"/>
          <w:sz w:val="28"/>
          <w:szCs w:val="28"/>
        </w:rPr>
        <w:t xml:space="preserve"> подобных правил и стандартов необходима развитая законодательная основа. Однако правомерная деятельность различных участников рынка может достигаться не только через разработку всех необходимых законов на государственном уровне, но и через саморегулирование. </w:t>
      </w:r>
    </w:p>
    <w:p w:rsidR="00986F2F" w:rsidRDefault="00986F2F" w:rsidP="00986F2F">
      <w:pPr>
        <w:spacing w:line="360" w:lineRule="auto"/>
        <w:jc w:val="both"/>
        <w:rPr>
          <w:rFonts w:ascii="Times New Roman" w:hAnsi="Times New Roman"/>
          <w:sz w:val="28"/>
          <w:szCs w:val="28"/>
        </w:rPr>
      </w:pPr>
      <w:r>
        <w:rPr>
          <w:rFonts w:ascii="Times New Roman" w:hAnsi="Times New Roman"/>
          <w:sz w:val="28"/>
          <w:szCs w:val="28"/>
        </w:rPr>
        <w:tab/>
        <w:t xml:space="preserve">Финансовый надзор в Австралии относится к гибкому типу регулирования финансового рынка. Инфраструктурные институты рынка взаимодействуют с государственными органами и в то же время имеют относительную свободу действий. Пока институты отвечают всем возложенным на них суверенными регуляторами требованиям, они могут сами выбирать инструменты для достижения поставленных целей. В частности, саморегулируемой организацией в Австралии является Австралийская фондовая биржа, а роль основных регуляторов финансового рынка выполняют Австралийская комиссия по ценным бумагам и инвестициям и Австралийская администрация регулирования с совещательным правом. Функции данных учреждений, а также Резервного банка Австралии и Казначейства, в той или иной степени вовлеченных в процесс регулирования, будут подробно рассмотрены во второй главе. </w:t>
      </w:r>
    </w:p>
    <w:p w:rsidR="00986F2F" w:rsidRDefault="00986F2F" w:rsidP="00986F2F">
      <w:pPr>
        <w:spacing w:line="360" w:lineRule="auto"/>
        <w:jc w:val="both"/>
        <w:rPr>
          <w:rFonts w:ascii="Times New Roman" w:hAnsi="Times New Roman"/>
          <w:sz w:val="28"/>
          <w:szCs w:val="28"/>
        </w:rPr>
      </w:pPr>
      <w:r>
        <w:rPr>
          <w:rFonts w:ascii="Times New Roman" w:hAnsi="Times New Roman"/>
          <w:sz w:val="28"/>
          <w:szCs w:val="28"/>
        </w:rPr>
        <w:tab/>
        <w:t xml:space="preserve">Надзор за финансовым рынком является одной из важнейших задач Австралийской фондовой биржи в достижении своей цели по обеспечению эффективного и справедливого функционирования рынка и по осуществлению его информационной эффективности. Биржа не только </w:t>
      </w:r>
      <w:r>
        <w:rPr>
          <w:rFonts w:ascii="Times New Roman" w:hAnsi="Times New Roman"/>
          <w:sz w:val="28"/>
          <w:szCs w:val="28"/>
        </w:rPr>
        <w:lastRenderedPageBreak/>
        <w:t xml:space="preserve">устанавливает нормы поведения, но и пресекает нарушения правил листинга и выявляет случаи инсайдерской торговли. Одним из принципов, лежащих в основе правил листинга, является обязательство компаний предоставлять информацию о своей деятельности и нести ответственность за её достоверность. Биржа может использовать следующие механизмы принуждения в отношении котирующихся копаний: моральное убеждение, требование выпуска дополнительных видов отчетности, временная приостановка котировок акций компании, а также исключение акций из биржевого списка. В соответствии с законом, </w:t>
      </w:r>
      <w:r>
        <w:rPr>
          <w:rFonts w:ascii="Times New Roman" w:hAnsi="Times New Roman"/>
          <w:sz w:val="28"/>
          <w:szCs w:val="28"/>
          <w:lang w:val="en-US"/>
        </w:rPr>
        <w:t>ASX</w:t>
      </w:r>
      <w:r w:rsidRPr="00EC06C2">
        <w:rPr>
          <w:rFonts w:ascii="Times New Roman" w:hAnsi="Times New Roman"/>
          <w:sz w:val="28"/>
          <w:szCs w:val="28"/>
        </w:rPr>
        <w:t xml:space="preserve"> </w:t>
      </w:r>
      <w:r>
        <w:rPr>
          <w:rFonts w:ascii="Times New Roman" w:hAnsi="Times New Roman"/>
          <w:sz w:val="28"/>
          <w:szCs w:val="28"/>
        </w:rPr>
        <w:t xml:space="preserve">может добиваться судебных постановлений для обеспечения соблюдения правил листинга. Помимо требований к листингу, Австралийская фондовая биржа контролирует операционные счета брокеров, следит за добросовестной деятельностью членов биржи и своевременным обновлением информации о состоянии компаний. </w:t>
      </w:r>
      <w:proofErr w:type="gramStart"/>
      <w:r>
        <w:rPr>
          <w:rFonts w:ascii="Times New Roman" w:hAnsi="Times New Roman"/>
          <w:sz w:val="28"/>
          <w:szCs w:val="28"/>
          <w:lang w:val="en-US"/>
        </w:rPr>
        <w:t>ASX</w:t>
      </w:r>
      <w:r w:rsidRPr="00EC06C2">
        <w:rPr>
          <w:rFonts w:ascii="Times New Roman" w:hAnsi="Times New Roman"/>
          <w:sz w:val="28"/>
          <w:szCs w:val="28"/>
        </w:rPr>
        <w:t xml:space="preserve"> </w:t>
      </w:r>
      <w:r>
        <w:rPr>
          <w:rFonts w:ascii="Times New Roman" w:hAnsi="Times New Roman"/>
          <w:sz w:val="28"/>
          <w:szCs w:val="28"/>
        </w:rPr>
        <w:t>устанавливает правила касательно поставок и расчетов по совершенным сделкам.</w:t>
      </w:r>
      <w:proofErr w:type="gramEnd"/>
      <w:r>
        <w:rPr>
          <w:rFonts w:ascii="Times New Roman" w:hAnsi="Times New Roman"/>
          <w:sz w:val="28"/>
          <w:szCs w:val="28"/>
        </w:rPr>
        <w:t xml:space="preserve"> </w:t>
      </w:r>
    </w:p>
    <w:p w:rsidR="00986F2F" w:rsidRDefault="00986F2F" w:rsidP="00986F2F">
      <w:pPr>
        <w:spacing w:line="360" w:lineRule="auto"/>
        <w:ind w:firstLine="708"/>
        <w:jc w:val="both"/>
        <w:rPr>
          <w:rFonts w:ascii="Times New Roman" w:hAnsi="Times New Roman"/>
          <w:sz w:val="28"/>
          <w:szCs w:val="28"/>
        </w:rPr>
      </w:pPr>
      <w:r>
        <w:rPr>
          <w:rFonts w:ascii="Times New Roman" w:hAnsi="Times New Roman"/>
          <w:sz w:val="28"/>
          <w:szCs w:val="28"/>
        </w:rPr>
        <w:t xml:space="preserve">Саморегулирование имеет ряд преимуществ по сравнению с разработкой законов на государственном уровне и полной ответственностью государственных органов за регулирование финансовых рынков. Рассмотрим следующую ситуацию. Компания, акции которой торгуются на бирже, или брокер, совершающий операции на бирже, заинтересованы соответствовать всем предписанным биржей правилам, чтобы иметь право использовать её услуги. Если данные стандарты становятся излишне обременительными, или изменяются в неблагоприятную для участника сторону, он в любой момент может покинуть биржу. То есть, биржа, с одной стороны, сама определяет правила торговли, но, с другой стороны, должна учитывать интересы всех участников и устанавливать приемлемые для рынка стандарты. Непосредственное сотрудничество биржи с участниками рынка позволяет ей охватывать все детали торговли и изменять правила в случае необходимости, что не представляется возможным для государственных регуляторов. </w:t>
      </w:r>
      <w:r>
        <w:rPr>
          <w:rFonts w:ascii="Times New Roman" w:hAnsi="Times New Roman"/>
          <w:sz w:val="28"/>
          <w:szCs w:val="28"/>
        </w:rPr>
        <w:lastRenderedPageBreak/>
        <w:t xml:space="preserve">Обладание информационным преимуществом – одна из особенностей саморегулируемых организаций. Их деятельность ориентирована непосредственно на рынок, и они способны быстро скорректировать свои действия в ответ на изменившиеся обстоятельства в динамично развивающейся отрасли. В результате правила торговли становятся более гибкими и лучше отвечают потребностям рынка. Более того, </w:t>
      </w:r>
      <w:r w:rsidRPr="00D7685D">
        <w:rPr>
          <w:rFonts w:ascii="Times New Roman" w:hAnsi="Times New Roman"/>
          <w:sz w:val="28"/>
          <w:szCs w:val="28"/>
        </w:rPr>
        <w:t>поддержание</w:t>
      </w:r>
      <w:r>
        <w:rPr>
          <w:rFonts w:ascii="Times New Roman" w:hAnsi="Times New Roman"/>
          <w:sz w:val="28"/>
          <w:szCs w:val="28"/>
        </w:rPr>
        <w:t xml:space="preserve"> собственной репутации стимулирует биржи обеспечивать максимальное качество предоставляемых услуг и рациональность устанавливаемых правил. Зная особенности поведения участников, саморегулируемые организации могут регулировать их деятельность без негативного влияния на эффективность рынка.  </w:t>
      </w:r>
    </w:p>
    <w:p w:rsidR="00986F2F" w:rsidRDefault="00986F2F" w:rsidP="00986F2F">
      <w:pPr>
        <w:spacing w:line="360" w:lineRule="auto"/>
        <w:ind w:firstLine="708"/>
        <w:jc w:val="both"/>
        <w:rPr>
          <w:rFonts w:ascii="Times New Roman" w:hAnsi="Times New Roman"/>
          <w:sz w:val="28"/>
          <w:szCs w:val="28"/>
        </w:rPr>
      </w:pPr>
      <w:r>
        <w:rPr>
          <w:rFonts w:ascii="Times New Roman" w:hAnsi="Times New Roman"/>
          <w:sz w:val="28"/>
          <w:szCs w:val="28"/>
        </w:rPr>
        <w:t xml:space="preserve">Принятие суверенными регуляторами тех или иных законов не исключает возможности нахождения в них лазеек. Последующая доработка законов для устранения таких случаев будет вести лишь к большей сложности нормативных актов. Регулируемые организации могут не понять требований в этих законах, тогда как самим регуляторам будет сложно обеспечить их выполнение. Кроме этого, самостоятельность и финансовая независимость биржи являются её преимуществами. Необходимые средства собираются у участников, тогда как в случае деятельности суверенного регулятора всё бремя ложится на налогоплательщиков. </w:t>
      </w:r>
    </w:p>
    <w:p w:rsidR="00986F2F" w:rsidRDefault="00986F2F" w:rsidP="00986F2F">
      <w:pPr>
        <w:spacing w:line="360" w:lineRule="auto"/>
        <w:ind w:firstLine="708"/>
        <w:jc w:val="both"/>
        <w:rPr>
          <w:rFonts w:ascii="Times New Roman" w:hAnsi="Times New Roman"/>
          <w:sz w:val="28"/>
          <w:szCs w:val="28"/>
        </w:rPr>
      </w:pPr>
      <w:r>
        <w:rPr>
          <w:rFonts w:ascii="Times New Roman" w:hAnsi="Times New Roman"/>
          <w:sz w:val="28"/>
          <w:szCs w:val="28"/>
        </w:rPr>
        <w:t xml:space="preserve">По причине масштабной коммерциализации бирж на протяжении последних двадцати лет, появился ряд опасений, связанных с предоставлением регулирующих полномочий саморегулируемым институтам рынка. Термин коммерциализация предполагает изменение организационно-правовой формы биржи, то есть её выход на фондовый рынок со своими акциями с целью привлечения дополнительных инвестиций. Выступление биржи в качестве эмитента может быть связано с обострившейся конкуренцией со стороны иностранных торговых площадок. Активное развитие компьютерных технологий и полная автоматизация процесса </w:t>
      </w:r>
      <w:r>
        <w:rPr>
          <w:rFonts w:ascii="Times New Roman" w:hAnsi="Times New Roman"/>
          <w:sz w:val="28"/>
          <w:szCs w:val="28"/>
        </w:rPr>
        <w:lastRenderedPageBreak/>
        <w:t xml:space="preserve">биржевой торговли во многом снижают стоимость предоставляемых услуг, тогда как привлечение капитала необходимо для дальнейшей модернизации биржи. </w:t>
      </w:r>
    </w:p>
    <w:p w:rsidR="00986F2F" w:rsidRDefault="00986F2F" w:rsidP="00986F2F">
      <w:pPr>
        <w:spacing w:line="360" w:lineRule="auto"/>
        <w:ind w:firstLine="708"/>
        <w:jc w:val="both"/>
        <w:rPr>
          <w:rFonts w:ascii="Times New Roman" w:hAnsi="Times New Roman"/>
          <w:sz w:val="28"/>
          <w:szCs w:val="28"/>
        </w:rPr>
      </w:pPr>
      <w:r>
        <w:rPr>
          <w:rFonts w:ascii="Times New Roman" w:hAnsi="Times New Roman"/>
          <w:sz w:val="28"/>
          <w:szCs w:val="28"/>
        </w:rPr>
        <w:t xml:space="preserve">Основной проблемой, вызванной изменением модели биржевого устройства, является конфликт интересов. Биржа переориентировала деятельность на удовлетворение интересов своих акционеров, хотя в первую очередь необходимо обслуживать интересы членов. Акционеры фондовой биржи могут повлиять на основные приоритеты биржи: если её деятельность их не устраивает, они всегда могут покинуть биржу. В результате, регулятивная функция биржи перестает являться основополагающей, что подразумевает уход на второй план защиты интересов инвесторов. Помимо этого, обострившийся конфликт интересов подразумевает такие угрозы, как склонность к злоупотреблению нормативными полномочиями для достижения собственных целей, снижение эффективности в обеспечении соблюдения собственных торговых правил и законодательства о ценных бумагах, действие в интересах лишь крупных инвесторов. </w:t>
      </w:r>
    </w:p>
    <w:p w:rsidR="00986F2F" w:rsidRDefault="00986F2F" w:rsidP="00986F2F">
      <w:pPr>
        <w:spacing w:line="360" w:lineRule="auto"/>
        <w:jc w:val="both"/>
        <w:rPr>
          <w:rFonts w:ascii="Times New Roman" w:hAnsi="Times New Roman"/>
          <w:sz w:val="28"/>
          <w:szCs w:val="28"/>
        </w:rPr>
      </w:pPr>
      <w:r>
        <w:rPr>
          <w:rFonts w:ascii="Times New Roman" w:hAnsi="Times New Roman"/>
          <w:sz w:val="28"/>
          <w:szCs w:val="28"/>
        </w:rPr>
        <w:tab/>
        <w:t xml:space="preserve">В результате, очевидно, что саморегулируемые организации обладают рядом неоспоримых преимуществ, однако не могут эффективно функционировать без поддержки со стороны государства. Лучшим решением в данной ситуации является сотрудничество инфраструктурных институтов рынка и суверенных регуляторов, что и наблюдается на финансовом рынке Австралии. Законы устанавливают минимальные требования к участникам рынка, тогда как саморегулируемые организации определяют более высокие стандарты поведения. </w:t>
      </w:r>
    </w:p>
    <w:p w:rsidR="00986F2F" w:rsidRDefault="00986F2F" w:rsidP="00986F2F">
      <w:pPr>
        <w:spacing w:line="360" w:lineRule="auto"/>
        <w:ind w:firstLine="708"/>
        <w:jc w:val="both"/>
        <w:rPr>
          <w:rFonts w:ascii="Times New Roman" w:hAnsi="Times New Roman"/>
          <w:sz w:val="28"/>
          <w:szCs w:val="28"/>
        </w:rPr>
      </w:pPr>
      <w:r>
        <w:rPr>
          <w:rFonts w:ascii="Times New Roman" w:hAnsi="Times New Roman"/>
          <w:sz w:val="28"/>
          <w:szCs w:val="28"/>
        </w:rPr>
        <w:t xml:space="preserve">Таким образом, часть полномочий в области регулирования финансовых рынков в Австралии передается биржам, которые регулируют большой круг вопросов: в том числе определяют правила листинга и торговые правила, следят за  ведением бизнеса участниками рынка. Такое распределение обязанностей в области финансового надзора происходит по </w:t>
      </w:r>
      <w:r>
        <w:rPr>
          <w:rFonts w:ascii="Times New Roman" w:hAnsi="Times New Roman"/>
          <w:sz w:val="28"/>
          <w:szCs w:val="28"/>
        </w:rPr>
        <w:lastRenderedPageBreak/>
        <w:t xml:space="preserve">причине большого числа преимуществ деятельности саморегулируемых организаций. Среди них лучшая информированность о том, что происходит внутри всей финансовой системы, быстрое принятие решений при изменении конъюнктуры рынка, а также гибкость этих решений, разработка правил в соответствии с операционными особенностями участников рынка. Последнее время биржи сосредоточились на максимизации прибыли и уделяют меньше внимания регулированию. В связи с этим тесное взаимодействие саморегулируемых организаций с суверенными регуляторами необходимо, так как оно способствует повышению эффективности и стабильности рынка. </w:t>
      </w:r>
    </w:p>
    <w:p w:rsidR="00986F2F" w:rsidRDefault="00986F2F" w:rsidP="00986F2F">
      <w:pPr>
        <w:spacing w:line="360" w:lineRule="auto"/>
        <w:ind w:firstLine="708"/>
        <w:jc w:val="both"/>
        <w:rPr>
          <w:rFonts w:ascii="Times New Roman" w:hAnsi="Times New Roman"/>
          <w:sz w:val="28"/>
          <w:szCs w:val="28"/>
        </w:rPr>
      </w:pPr>
      <w:r>
        <w:rPr>
          <w:rFonts w:ascii="Times New Roman" w:hAnsi="Times New Roman"/>
          <w:sz w:val="28"/>
          <w:szCs w:val="28"/>
        </w:rPr>
        <w:t xml:space="preserve">В 1998 году после рассмотрения трех возможных вариантов реформирования финансовой системы Австралии, организация по исследованию финансовой системы приняла решение о переходе к системе </w:t>
      </w:r>
      <w:r>
        <w:rPr>
          <w:rFonts w:ascii="Times New Roman" w:hAnsi="Times New Roman"/>
          <w:sz w:val="28"/>
          <w:szCs w:val="28"/>
          <w:lang w:val="en-US"/>
        </w:rPr>
        <w:t>Twin</w:t>
      </w:r>
      <w:r w:rsidRPr="00EC06C2">
        <w:rPr>
          <w:rFonts w:ascii="Times New Roman" w:hAnsi="Times New Roman"/>
          <w:sz w:val="28"/>
          <w:szCs w:val="28"/>
        </w:rPr>
        <w:t xml:space="preserve"> </w:t>
      </w:r>
      <w:r>
        <w:rPr>
          <w:rFonts w:ascii="Times New Roman" w:hAnsi="Times New Roman"/>
          <w:sz w:val="28"/>
          <w:szCs w:val="28"/>
          <w:lang w:val="en-US"/>
        </w:rPr>
        <w:t>Peaks</w:t>
      </w:r>
      <w:r>
        <w:rPr>
          <w:rFonts w:ascii="Times New Roman" w:hAnsi="Times New Roman"/>
          <w:sz w:val="28"/>
          <w:szCs w:val="28"/>
        </w:rPr>
        <w:t xml:space="preserve">. Существовавшая ранее институциональная модель не имела явных недостатков, однако Правительство Австралии, являясь ключевым игроком рынка, стремилось внедрить более эффективную систему регулирования, основываясь на интересах общества вцелом. Было создано два регулятора: Австралийская комиссия по ценным бумагам и инвестициям и Австралийская администрация регулирования с совещательным правом. Эти учреждения являются суверенными регуляторами, активно взаимодействующими с саморегулируемыми организациями на австралийском рынке. </w:t>
      </w:r>
    </w:p>
    <w:p w:rsidR="00986F2F" w:rsidRDefault="00986F2F" w:rsidP="00986F2F">
      <w:pPr>
        <w:spacing w:line="360" w:lineRule="auto"/>
        <w:jc w:val="both"/>
        <w:rPr>
          <w:rFonts w:ascii="Times New Roman" w:hAnsi="Times New Roman"/>
          <w:sz w:val="28"/>
          <w:szCs w:val="28"/>
        </w:rPr>
      </w:pPr>
    </w:p>
    <w:p w:rsidR="00BB26AF" w:rsidRDefault="00BB26AF" w:rsidP="00986F2F">
      <w:pPr>
        <w:spacing w:line="360" w:lineRule="auto"/>
        <w:jc w:val="both"/>
        <w:rPr>
          <w:rFonts w:ascii="Times New Roman" w:hAnsi="Times New Roman"/>
          <w:sz w:val="28"/>
          <w:szCs w:val="28"/>
        </w:rPr>
      </w:pPr>
    </w:p>
    <w:p w:rsidR="00BB26AF" w:rsidRDefault="00BB26AF" w:rsidP="00986F2F">
      <w:pPr>
        <w:spacing w:line="360" w:lineRule="auto"/>
        <w:jc w:val="both"/>
        <w:rPr>
          <w:rFonts w:ascii="Times New Roman" w:hAnsi="Times New Roman"/>
          <w:sz w:val="28"/>
          <w:szCs w:val="28"/>
        </w:rPr>
      </w:pPr>
    </w:p>
    <w:p w:rsidR="00BB26AF" w:rsidRDefault="00BB26AF" w:rsidP="00986F2F">
      <w:pPr>
        <w:spacing w:line="360" w:lineRule="auto"/>
        <w:jc w:val="both"/>
        <w:rPr>
          <w:rFonts w:ascii="Times New Roman" w:hAnsi="Times New Roman"/>
          <w:sz w:val="28"/>
          <w:szCs w:val="28"/>
        </w:rPr>
      </w:pPr>
    </w:p>
    <w:p w:rsidR="00BB26AF" w:rsidRDefault="00BB26AF" w:rsidP="00986F2F">
      <w:pPr>
        <w:spacing w:line="360" w:lineRule="auto"/>
        <w:jc w:val="both"/>
        <w:rPr>
          <w:rFonts w:ascii="Times New Roman" w:hAnsi="Times New Roman"/>
          <w:sz w:val="28"/>
          <w:szCs w:val="28"/>
        </w:rPr>
      </w:pPr>
    </w:p>
    <w:p w:rsidR="00BB26AF" w:rsidRDefault="00BB26AF">
      <w:pPr>
        <w:rPr>
          <w:rFonts w:ascii="Times New Roman" w:hAnsi="Times New Roman"/>
          <w:sz w:val="28"/>
          <w:szCs w:val="28"/>
        </w:rPr>
      </w:pPr>
      <w:r>
        <w:rPr>
          <w:rFonts w:ascii="Times New Roman" w:hAnsi="Times New Roman"/>
          <w:sz w:val="28"/>
          <w:szCs w:val="28"/>
        </w:rPr>
        <w:br w:type="page"/>
      </w:r>
    </w:p>
    <w:p w:rsidR="00BB26AF" w:rsidRPr="00BB26AF" w:rsidRDefault="00BB26AF" w:rsidP="00BB26AF">
      <w:pPr>
        <w:spacing w:after="0" w:line="360" w:lineRule="auto"/>
        <w:jc w:val="center"/>
        <w:rPr>
          <w:rFonts w:ascii="Times New Roman" w:eastAsia="Times New Roman" w:hAnsi="Times New Roman" w:cs="Times New Roman"/>
          <w:b/>
          <w:sz w:val="32"/>
          <w:szCs w:val="32"/>
        </w:rPr>
      </w:pPr>
      <w:r w:rsidRPr="00BB26AF">
        <w:rPr>
          <w:rFonts w:ascii="Times New Roman" w:eastAsia="Times New Roman" w:hAnsi="Times New Roman" w:cs="Times New Roman"/>
          <w:b/>
          <w:sz w:val="32"/>
          <w:szCs w:val="32"/>
        </w:rPr>
        <w:lastRenderedPageBreak/>
        <w:t xml:space="preserve">Глава 2. Организация австралийской системы </w:t>
      </w:r>
      <w:proofErr w:type="spellStart"/>
      <w:r w:rsidRPr="00BB26AF">
        <w:rPr>
          <w:rFonts w:ascii="Times New Roman" w:eastAsia="Times New Roman" w:hAnsi="Times New Roman" w:cs="Times New Roman"/>
          <w:b/>
          <w:sz w:val="32"/>
          <w:szCs w:val="32"/>
        </w:rPr>
        <w:t>Twin</w:t>
      </w:r>
      <w:proofErr w:type="spellEnd"/>
      <w:r w:rsidRPr="00BB26AF">
        <w:rPr>
          <w:rFonts w:ascii="Times New Roman" w:eastAsia="Times New Roman" w:hAnsi="Times New Roman" w:cs="Times New Roman"/>
          <w:b/>
          <w:sz w:val="32"/>
          <w:szCs w:val="32"/>
        </w:rPr>
        <w:t xml:space="preserve"> </w:t>
      </w:r>
      <w:proofErr w:type="spellStart"/>
      <w:r w:rsidRPr="00BB26AF">
        <w:rPr>
          <w:rFonts w:ascii="Times New Roman" w:eastAsia="Times New Roman" w:hAnsi="Times New Roman" w:cs="Times New Roman"/>
          <w:b/>
          <w:sz w:val="32"/>
          <w:szCs w:val="32"/>
        </w:rPr>
        <w:t>Peaks</w:t>
      </w:r>
      <w:proofErr w:type="spellEnd"/>
    </w:p>
    <w:p w:rsidR="00BB26AF" w:rsidRPr="00BB26AF" w:rsidRDefault="00BB26AF" w:rsidP="00BB26AF">
      <w:pPr>
        <w:spacing w:after="0" w:line="360" w:lineRule="auto"/>
        <w:ind w:firstLine="720"/>
        <w:jc w:val="both"/>
        <w:rPr>
          <w:rFonts w:ascii="Times New Roman" w:eastAsia="Times New Roman" w:hAnsi="Times New Roman" w:cs="Times New Roman"/>
          <w:sz w:val="28"/>
          <w:szCs w:val="28"/>
        </w:rPr>
      </w:pPr>
    </w:p>
    <w:p w:rsidR="00BB26AF" w:rsidRPr="00BB26AF" w:rsidRDefault="00BB26AF" w:rsidP="00BB26AF">
      <w:pPr>
        <w:spacing w:after="0" w:line="360" w:lineRule="auto"/>
        <w:ind w:firstLine="720"/>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 xml:space="preserve">В современном обществе глобальные рынки капиталов и денежных средств постоянно эволюционируют. Экономические кризисы, природные катаклизмы и другие значимые события, происходящие как внутри страны, так и на международном уровне, провоцируют модификацию систем регулирования финансовых рынков, а также принципов функционирования институтов рынка. В связи с этим необходимо, чтобы органы регулирования проводили своевременную корректировку нормативно-правовой базы в зависимости от изменений на финансовых рынках. </w:t>
      </w:r>
    </w:p>
    <w:p w:rsidR="00BB26AF" w:rsidRPr="00BB26AF" w:rsidRDefault="00BB26AF" w:rsidP="00BB26AF">
      <w:pPr>
        <w:spacing w:after="0" w:line="360" w:lineRule="auto"/>
        <w:ind w:firstLine="720"/>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Согласно докладу группы тридцати, многие страны трансформировали системы регулирования финансовых рынков в течение последних пятнадцати лет, а большинство из них находятся в процессе реструктуризации или активно обсуждают необходимость существенных изменений для модернизации своих систем</w:t>
      </w:r>
      <w:r w:rsidRPr="00BB26AF">
        <w:rPr>
          <w:rFonts w:ascii="Times New Roman" w:eastAsia="Times New Roman" w:hAnsi="Times New Roman" w:cs="Times New Roman"/>
          <w:sz w:val="28"/>
          <w:szCs w:val="28"/>
          <w:vertAlign w:val="superscript"/>
        </w:rPr>
        <w:footnoteReference w:id="3"/>
      </w:r>
      <w:r w:rsidRPr="00BB26AF">
        <w:rPr>
          <w:rFonts w:ascii="Times New Roman" w:eastAsia="Times New Roman" w:hAnsi="Times New Roman" w:cs="Times New Roman"/>
          <w:sz w:val="28"/>
          <w:szCs w:val="28"/>
        </w:rPr>
        <w:t xml:space="preserve">. </w:t>
      </w:r>
    </w:p>
    <w:p w:rsidR="00BB26AF" w:rsidRPr="00BB26AF" w:rsidRDefault="00BB26AF" w:rsidP="00BB26AF">
      <w:pPr>
        <w:spacing w:after="0" w:line="360" w:lineRule="auto"/>
        <w:ind w:firstLine="720"/>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 xml:space="preserve">В настоящее время во всем мире применяются четыре подхода к финансовому надзору: институциональный, функциональный, интегрированный и </w:t>
      </w:r>
      <w:proofErr w:type="spellStart"/>
      <w:r w:rsidRPr="00BB26AF">
        <w:rPr>
          <w:rFonts w:ascii="Times New Roman" w:eastAsia="Times New Roman" w:hAnsi="Times New Roman" w:cs="Times New Roman"/>
          <w:sz w:val="28"/>
          <w:szCs w:val="28"/>
        </w:rPr>
        <w:t>Twin</w:t>
      </w:r>
      <w:proofErr w:type="spellEnd"/>
      <w:r w:rsidRPr="00BB26AF">
        <w:rPr>
          <w:rFonts w:ascii="Times New Roman" w:eastAsia="Times New Roman" w:hAnsi="Times New Roman" w:cs="Times New Roman"/>
          <w:sz w:val="28"/>
          <w:szCs w:val="28"/>
        </w:rPr>
        <w:t xml:space="preserve"> </w:t>
      </w:r>
      <w:proofErr w:type="spellStart"/>
      <w:r w:rsidRPr="00BB26AF">
        <w:rPr>
          <w:rFonts w:ascii="Times New Roman" w:eastAsia="Times New Roman" w:hAnsi="Times New Roman" w:cs="Times New Roman"/>
          <w:sz w:val="28"/>
          <w:szCs w:val="28"/>
        </w:rPr>
        <w:t>Peaks</w:t>
      </w:r>
      <w:proofErr w:type="spellEnd"/>
      <w:r w:rsidRPr="00BB26AF">
        <w:rPr>
          <w:rFonts w:ascii="Times New Roman" w:eastAsia="Times New Roman" w:hAnsi="Times New Roman" w:cs="Times New Roman"/>
          <w:sz w:val="28"/>
          <w:szCs w:val="28"/>
        </w:rPr>
        <w:t xml:space="preserve">. В целом, ни одна модель не доказала своего однозначного превосходства над другими в достижении всех целей регулирования. Однако многие эксперты полагают, что Австралии удалось избежать последствий мирового финансового кризиса благодаря успешной системе финансового надзора. Австралия и Нидерланды являются единственными странами, в которых модель </w:t>
      </w:r>
      <w:proofErr w:type="spellStart"/>
      <w:r w:rsidRPr="00BB26AF">
        <w:rPr>
          <w:rFonts w:ascii="Times New Roman" w:eastAsia="Times New Roman" w:hAnsi="Times New Roman" w:cs="Times New Roman"/>
          <w:sz w:val="28"/>
          <w:szCs w:val="28"/>
        </w:rPr>
        <w:t>Twin</w:t>
      </w:r>
      <w:proofErr w:type="spellEnd"/>
      <w:r w:rsidRPr="00BB26AF">
        <w:rPr>
          <w:rFonts w:ascii="Times New Roman" w:eastAsia="Times New Roman" w:hAnsi="Times New Roman" w:cs="Times New Roman"/>
          <w:sz w:val="28"/>
          <w:szCs w:val="28"/>
        </w:rPr>
        <w:t xml:space="preserve"> </w:t>
      </w:r>
      <w:proofErr w:type="spellStart"/>
      <w:r w:rsidRPr="00BB26AF">
        <w:rPr>
          <w:rFonts w:ascii="Times New Roman" w:eastAsia="Times New Roman" w:hAnsi="Times New Roman" w:cs="Times New Roman"/>
          <w:sz w:val="28"/>
          <w:szCs w:val="28"/>
        </w:rPr>
        <w:t>Peaks</w:t>
      </w:r>
      <w:proofErr w:type="spellEnd"/>
      <w:r w:rsidRPr="00BB26AF">
        <w:rPr>
          <w:rFonts w:ascii="Times New Roman" w:eastAsia="Times New Roman" w:hAnsi="Times New Roman" w:cs="Times New Roman"/>
          <w:sz w:val="28"/>
          <w:szCs w:val="28"/>
        </w:rPr>
        <w:t xml:space="preserve"> действует в настоящее время. В октябре 2008 года группа тридцати в своем докладе о структуре финансового надзора обнаружили, что эти две страны имеют наиболее эффективные режимы регулирования в мире</w:t>
      </w:r>
      <w:r w:rsidRPr="00BB26AF">
        <w:rPr>
          <w:rFonts w:ascii="Times New Roman" w:eastAsia="Times New Roman" w:hAnsi="Times New Roman" w:cs="Times New Roman"/>
          <w:sz w:val="28"/>
          <w:szCs w:val="28"/>
          <w:vertAlign w:val="superscript"/>
        </w:rPr>
        <w:footnoteReference w:id="4"/>
      </w:r>
      <w:r w:rsidRPr="00BB26AF">
        <w:rPr>
          <w:rFonts w:ascii="Times New Roman" w:eastAsia="Times New Roman" w:hAnsi="Times New Roman" w:cs="Times New Roman"/>
          <w:sz w:val="28"/>
          <w:szCs w:val="28"/>
        </w:rPr>
        <w:t xml:space="preserve">. </w:t>
      </w:r>
    </w:p>
    <w:p w:rsidR="00BB26AF" w:rsidRPr="00BB26AF" w:rsidRDefault="00BB26AF" w:rsidP="00BB26AF">
      <w:pPr>
        <w:spacing w:after="0" w:line="360" w:lineRule="auto"/>
        <w:ind w:firstLine="720"/>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lastRenderedPageBreak/>
        <w:t xml:space="preserve">В данной главе будет подробно рассмотрена деятельность четырех независимых учреждений, осуществляющих надзор за финансовой системой Австралии: Австралийской администрации регулирования с совещательным правом, Австралийской комиссии по ценным бумагам и инвестициям, Резервного банка Австралии и Казначейства Австралии, а  также будут проанализированы функции других организаций, играющих не менее важную роль в функционировании финансовых рынков Австралии. </w:t>
      </w:r>
    </w:p>
    <w:p w:rsidR="00BB26AF" w:rsidRPr="00BB26AF" w:rsidRDefault="00BB26AF" w:rsidP="00BB26AF">
      <w:pPr>
        <w:spacing w:after="0" w:line="360" w:lineRule="auto"/>
        <w:ind w:firstLine="720"/>
        <w:jc w:val="both"/>
        <w:rPr>
          <w:rFonts w:ascii="Times New Roman" w:eastAsia="Times New Roman" w:hAnsi="Times New Roman" w:cs="Times New Roman"/>
          <w:sz w:val="28"/>
          <w:szCs w:val="28"/>
          <w:highlight w:val="yellow"/>
        </w:rPr>
      </w:pPr>
    </w:p>
    <w:p w:rsidR="00BB26AF" w:rsidRPr="00BB26AF" w:rsidRDefault="00BB26AF" w:rsidP="00BB26AF">
      <w:pPr>
        <w:spacing w:after="0" w:line="360" w:lineRule="auto"/>
        <w:jc w:val="both"/>
        <w:rPr>
          <w:rFonts w:ascii="Times New Roman" w:eastAsia="Times New Roman" w:hAnsi="Times New Roman" w:cs="Times New Roman"/>
          <w:b/>
          <w:sz w:val="28"/>
          <w:szCs w:val="28"/>
        </w:rPr>
      </w:pPr>
      <w:r w:rsidRPr="00BB26AF">
        <w:rPr>
          <w:rFonts w:ascii="Times New Roman" w:eastAsia="Times New Roman" w:hAnsi="Times New Roman" w:cs="Times New Roman"/>
          <w:b/>
          <w:sz w:val="28"/>
          <w:szCs w:val="28"/>
        </w:rPr>
        <w:t>2.1. Основные направления деятельности регулятивных органов</w:t>
      </w:r>
    </w:p>
    <w:p w:rsidR="00BB26AF" w:rsidRPr="00BB26AF" w:rsidRDefault="00BB26AF" w:rsidP="00BB26AF">
      <w:pPr>
        <w:spacing w:after="0" w:line="360" w:lineRule="auto"/>
        <w:jc w:val="both"/>
        <w:rPr>
          <w:rFonts w:ascii="Times New Roman" w:eastAsia="Times New Roman" w:hAnsi="Times New Roman" w:cs="Times New Roman"/>
          <w:b/>
          <w:sz w:val="28"/>
          <w:szCs w:val="28"/>
        </w:rPr>
      </w:pPr>
    </w:p>
    <w:p w:rsidR="00BB26AF" w:rsidRPr="00BB26AF" w:rsidRDefault="00BB26AF" w:rsidP="00BB26AF">
      <w:pPr>
        <w:spacing w:after="0" w:line="360" w:lineRule="auto"/>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ab/>
        <w:t xml:space="preserve">Оценив последствия мирового финансового кризиса, регулятивные учреждения, политики и общественность осознали, что эффективность финансового регулирования крайне важна. Модель </w:t>
      </w:r>
      <w:proofErr w:type="spellStart"/>
      <w:r w:rsidRPr="00BB26AF">
        <w:rPr>
          <w:rFonts w:ascii="Times New Roman" w:eastAsia="Times New Roman" w:hAnsi="Times New Roman" w:cs="Times New Roman"/>
          <w:sz w:val="28"/>
          <w:szCs w:val="28"/>
        </w:rPr>
        <w:t>Twin</w:t>
      </w:r>
      <w:proofErr w:type="spellEnd"/>
      <w:r w:rsidRPr="00BB26AF">
        <w:rPr>
          <w:rFonts w:ascii="Times New Roman" w:eastAsia="Times New Roman" w:hAnsi="Times New Roman" w:cs="Times New Roman"/>
          <w:sz w:val="28"/>
          <w:szCs w:val="28"/>
        </w:rPr>
        <w:t xml:space="preserve"> </w:t>
      </w:r>
      <w:proofErr w:type="spellStart"/>
      <w:r w:rsidRPr="00BB26AF">
        <w:rPr>
          <w:rFonts w:ascii="Times New Roman" w:eastAsia="Times New Roman" w:hAnsi="Times New Roman" w:cs="Times New Roman"/>
          <w:sz w:val="28"/>
          <w:szCs w:val="28"/>
        </w:rPr>
        <w:t>Peaks</w:t>
      </w:r>
      <w:proofErr w:type="spellEnd"/>
      <w:r w:rsidRPr="00BB26AF">
        <w:rPr>
          <w:rFonts w:ascii="Times New Roman" w:eastAsia="Times New Roman" w:hAnsi="Times New Roman" w:cs="Times New Roman"/>
          <w:sz w:val="28"/>
          <w:szCs w:val="28"/>
        </w:rPr>
        <w:t xml:space="preserve">, как и другие подходы к регулированию финансового рынка, стремится обеспечить достижение четырех основных целей: безопасности и надежности финансовых институтов, защиты потребителей и инвесторов, снижения системных рисков, эффективности и честности финансовых рынков. Помимо перечисленных условий, являющихся залогом успешного функционирования системы, рынок не должен быть излишне регулируемым. Рассмотрим подробнее каждую из четырех целей. </w:t>
      </w:r>
    </w:p>
    <w:p w:rsidR="00BB26AF" w:rsidRPr="00BB26AF" w:rsidRDefault="00BB26AF" w:rsidP="00BB26AF">
      <w:pPr>
        <w:spacing w:after="0" w:line="360" w:lineRule="auto"/>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ab/>
        <w:t xml:space="preserve">Безопасность и надежность финансовых институтов обеспечивается через проверку их платежеспособности и сохранности клиентских активов. Существует ряд правил, которым должны соответствовать банки, страховые и инвестиционные компании. Данные стандарты включают как запрещающие нормы, так и рекомендации касательно их деятельности. Такие принудительные меры, как штрафы, наказания, взыскания, а также другие санкции не используются. </w:t>
      </w:r>
    </w:p>
    <w:p w:rsidR="00BB26AF" w:rsidRPr="00BB26AF" w:rsidRDefault="00BB26AF" w:rsidP="00BB26AF">
      <w:pPr>
        <w:spacing w:after="0" w:line="360" w:lineRule="auto"/>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ab/>
        <w:t xml:space="preserve">Защита потребителей и инвесторов осуществляется с помощью правил ведения бизнеса. Данные нормы направлены на обеспечение добросовестного ведения сделок и включают требования к раскрытию </w:t>
      </w:r>
      <w:r w:rsidRPr="00BB26AF">
        <w:rPr>
          <w:rFonts w:ascii="Times New Roman" w:eastAsia="Times New Roman" w:hAnsi="Times New Roman" w:cs="Times New Roman"/>
          <w:sz w:val="28"/>
          <w:szCs w:val="28"/>
        </w:rPr>
        <w:lastRenderedPageBreak/>
        <w:t xml:space="preserve">информации, </w:t>
      </w:r>
      <w:proofErr w:type="spellStart"/>
      <w:r w:rsidRPr="00BB26AF">
        <w:rPr>
          <w:rFonts w:ascii="Times New Roman" w:eastAsia="Times New Roman" w:hAnsi="Times New Roman" w:cs="Times New Roman"/>
          <w:sz w:val="28"/>
          <w:szCs w:val="28"/>
        </w:rPr>
        <w:t>транспарентности</w:t>
      </w:r>
      <w:proofErr w:type="spellEnd"/>
      <w:r w:rsidRPr="00BB26AF">
        <w:rPr>
          <w:rFonts w:ascii="Times New Roman" w:eastAsia="Times New Roman" w:hAnsi="Times New Roman" w:cs="Times New Roman"/>
          <w:sz w:val="28"/>
          <w:szCs w:val="28"/>
        </w:rPr>
        <w:t xml:space="preserve">, платежеспособности. Примерами могут быть правила о столкновении интересов, когда государственным служащим запрещается занимать посты в частных компаниях, а также ограничения о рекламировании определенных товаров или услуг. </w:t>
      </w:r>
    </w:p>
    <w:p w:rsidR="00BB26AF" w:rsidRPr="00BB26AF" w:rsidRDefault="00BB26AF" w:rsidP="00BB26AF">
      <w:pPr>
        <w:spacing w:after="0" w:line="360" w:lineRule="auto"/>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ab/>
        <w:t>Снижение системных рисков является первоочередной и в то же время самой трудновыполнимой задачей. Обеспечение этой цели не предполагает принятия строго определенных действий, так как риск относится к нарушению функционирования всей системы в целом. Ввиду этого обеспечение системной стабильности включает наблюдение за деятельностью крупных игроков рынка, контроль расчетно-клиринговых операций и платежей, а также надзор за другими ключевыми компонентами рынка.</w:t>
      </w:r>
    </w:p>
    <w:p w:rsidR="00BB26AF" w:rsidRPr="00BB26AF" w:rsidRDefault="00BB26AF" w:rsidP="00BB26AF">
      <w:pPr>
        <w:spacing w:after="0" w:line="360" w:lineRule="auto"/>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ab/>
        <w:t xml:space="preserve">Под честностью и эффективностью подразумевается налаженное функционирование финансовых рынков, включающее доступность информации о ценах торгующихся товаров, отсутствие инсайдерской торговли и неконкурентного поведения. Своевременное предоставление участниками рынка достоверной информации о финансовой деятельности необходимо для эффективной работы рынка в целом, так как рыночные цены акций должны отражать реальное положение компаний. </w:t>
      </w:r>
    </w:p>
    <w:p w:rsidR="00BB26AF" w:rsidRPr="00BB26AF" w:rsidRDefault="00BB26AF" w:rsidP="00BB26AF">
      <w:pPr>
        <w:spacing w:after="0" w:line="360" w:lineRule="auto"/>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ab/>
        <w:t xml:space="preserve">Таким образом, регулирование финансовых рынков направлено на соблюдение всех перечисленных правил, что ведет к повышению доверия к финансовой системе и к присутствию на рынке большего числа участников. Однако слишком большое количество этих </w:t>
      </w:r>
      <w:proofErr w:type="gramStart"/>
      <w:r w:rsidRPr="00BB26AF">
        <w:rPr>
          <w:rFonts w:ascii="Times New Roman" w:eastAsia="Times New Roman" w:hAnsi="Times New Roman" w:cs="Times New Roman"/>
          <w:sz w:val="28"/>
          <w:szCs w:val="28"/>
        </w:rPr>
        <w:t>правил</w:t>
      </w:r>
      <w:proofErr w:type="gramEnd"/>
      <w:r w:rsidRPr="00BB26AF">
        <w:rPr>
          <w:rFonts w:ascii="Times New Roman" w:eastAsia="Times New Roman" w:hAnsi="Times New Roman" w:cs="Times New Roman"/>
          <w:sz w:val="28"/>
          <w:szCs w:val="28"/>
        </w:rPr>
        <w:t xml:space="preserve"> и их сложность могут привести к излишней </w:t>
      </w:r>
      <w:proofErr w:type="spellStart"/>
      <w:r w:rsidRPr="00BB26AF">
        <w:rPr>
          <w:rFonts w:ascii="Times New Roman" w:eastAsia="Times New Roman" w:hAnsi="Times New Roman" w:cs="Times New Roman"/>
          <w:sz w:val="28"/>
          <w:szCs w:val="28"/>
        </w:rPr>
        <w:t>зарегулированности</w:t>
      </w:r>
      <w:proofErr w:type="spellEnd"/>
      <w:r w:rsidRPr="00BB26AF">
        <w:rPr>
          <w:rFonts w:ascii="Times New Roman" w:eastAsia="Times New Roman" w:hAnsi="Times New Roman" w:cs="Times New Roman"/>
          <w:sz w:val="28"/>
          <w:szCs w:val="28"/>
        </w:rPr>
        <w:t xml:space="preserve"> рынка, следовательно, к его неэффективности. Модель </w:t>
      </w:r>
      <w:r w:rsidRPr="00BB26AF">
        <w:rPr>
          <w:rFonts w:ascii="Times New Roman" w:eastAsia="Times New Roman" w:hAnsi="Times New Roman" w:cs="Times New Roman"/>
          <w:sz w:val="28"/>
          <w:szCs w:val="28"/>
          <w:lang w:val="en-US"/>
        </w:rPr>
        <w:t>Twin</w:t>
      </w:r>
      <w:r w:rsidRPr="00BB26AF">
        <w:rPr>
          <w:rFonts w:ascii="Times New Roman" w:eastAsia="Times New Roman" w:hAnsi="Times New Roman" w:cs="Times New Roman"/>
          <w:sz w:val="28"/>
          <w:szCs w:val="28"/>
        </w:rPr>
        <w:t xml:space="preserve"> </w:t>
      </w:r>
      <w:r w:rsidRPr="00BB26AF">
        <w:rPr>
          <w:rFonts w:ascii="Times New Roman" w:eastAsia="Times New Roman" w:hAnsi="Times New Roman" w:cs="Times New Roman"/>
          <w:sz w:val="28"/>
          <w:szCs w:val="28"/>
          <w:lang w:val="en-US"/>
        </w:rPr>
        <w:t>Peaks</w:t>
      </w:r>
      <w:r w:rsidRPr="00BB26AF">
        <w:rPr>
          <w:rFonts w:ascii="Times New Roman" w:eastAsia="Times New Roman" w:hAnsi="Times New Roman" w:cs="Times New Roman"/>
          <w:sz w:val="28"/>
          <w:szCs w:val="28"/>
        </w:rPr>
        <w:t xml:space="preserve"> учла оба этих важных момента путем упразднения большого количества ранее существовавших учреждений по надзору и сокращению полномочий Резервного банка Австралии, а также путем создания двух новых регулирующих органов: один из них обеспечивает безопасность и надежность финансовых институтов, а другой сосредоточен на регулировании правил ведения бизнеса. </w:t>
      </w:r>
    </w:p>
    <w:p w:rsidR="00BB26AF" w:rsidRPr="00BB26AF" w:rsidRDefault="00BB26AF" w:rsidP="00BB26AF">
      <w:pPr>
        <w:spacing w:after="0" w:line="360" w:lineRule="auto"/>
        <w:jc w:val="both"/>
        <w:rPr>
          <w:rFonts w:ascii="Times New Roman" w:eastAsia="Times New Roman" w:hAnsi="Times New Roman" w:cs="Times New Roman"/>
          <w:b/>
          <w:sz w:val="28"/>
          <w:szCs w:val="28"/>
        </w:rPr>
      </w:pPr>
      <w:r w:rsidRPr="00BB26AF">
        <w:rPr>
          <w:rFonts w:ascii="Times New Roman" w:eastAsia="Times New Roman" w:hAnsi="Times New Roman" w:cs="Times New Roman"/>
          <w:b/>
          <w:sz w:val="28"/>
          <w:szCs w:val="28"/>
        </w:rPr>
        <w:lastRenderedPageBreak/>
        <w:t>2.2. Деятельность Австралийской администрации регулирования с совещательным правом (APRA)</w:t>
      </w:r>
    </w:p>
    <w:p w:rsidR="00BB26AF" w:rsidRPr="00BB26AF" w:rsidRDefault="00BB26AF" w:rsidP="00BB26AF">
      <w:pPr>
        <w:spacing w:after="0" w:line="360" w:lineRule="auto"/>
        <w:jc w:val="both"/>
        <w:rPr>
          <w:rFonts w:ascii="Times New Roman" w:eastAsia="Times New Roman" w:hAnsi="Times New Roman" w:cs="Times New Roman"/>
          <w:sz w:val="28"/>
          <w:szCs w:val="28"/>
        </w:rPr>
      </w:pPr>
    </w:p>
    <w:p w:rsidR="00BB26AF" w:rsidRPr="00BB26AF" w:rsidRDefault="00BB26AF" w:rsidP="00BB26AF">
      <w:pPr>
        <w:spacing w:after="0" w:line="360" w:lineRule="auto"/>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ab/>
        <w:t xml:space="preserve">Австралийская администрация регулирования с совещательным правом была учреждена 1 июля 1988 года в соответствии с </w:t>
      </w:r>
      <w:proofErr w:type="spellStart"/>
      <w:r w:rsidRPr="00BB26AF">
        <w:rPr>
          <w:rFonts w:ascii="Times New Roman" w:eastAsia="Times New Roman" w:hAnsi="Times New Roman" w:cs="Times New Roman"/>
          <w:i/>
          <w:sz w:val="28"/>
          <w:szCs w:val="28"/>
        </w:rPr>
        <w:t>Australian</w:t>
      </w:r>
      <w:proofErr w:type="spellEnd"/>
      <w:r w:rsidRPr="00BB26AF">
        <w:rPr>
          <w:rFonts w:ascii="Times New Roman" w:eastAsia="Times New Roman" w:hAnsi="Times New Roman" w:cs="Times New Roman"/>
          <w:i/>
          <w:sz w:val="28"/>
          <w:szCs w:val="28"/>
        </w:rPr>
        <w:t xml:space="preserve"> </w:t>
      </w:r>
      <w:proofErr w:type="spellStart"/>
      <w:r w:rsidRPr="00BB26AF">
        <w:rPr>
          <w:rFonts w:ascii="Times New Roman" w:eastAsia="Times New Roman" w:hAnsi="Times New Roman" w:cs="Times New Roman"/>
          <w:i/>
          <w:sz w:val="28"/>
          <w:szCs w:val="28"/>
        </w:rPr>
        <w:t>Prudential</w:t>
      </w:r>
      <w:proofErr w:type="spellEnd"/>
      <w:r w:rsidRPr="00BB26AF">
        <w:rPr>
          <w:rFonts w:ascii="Times New Roman" w:eastAsia="Times New Roman" w:hAnsi="Times New Roman" w:cs="Times New Roman"/>
          <w:i/>
          <w:sz w:val="28"/>
          <w:szCs w:val="28"/>
        </w:rPr>
        <w:t xml:space="preserve"> </w:t>
      </w:r>
      <w:proofErr w:type="spellStart"/>
      <w:r w:rsidRPr="00BB26AF">
        <w:rPr>
          <w:rFonts w:ascii="Times New Roman" w:eastAsia="Times New Roman" w:hAnsi="Times New Roman" w:cs="Times New Roman"/>
          <w:i/>
          <w:sz w:val="28"/>
          <w:szCs w:val="28"/>
        </w:rPr>
        <w:t>Regulation</w:t>
      </w:r>
      <w:proofErr w:type="spellEnd"/>
      <w:r w:rsidRPr="00BB26AF">
        <w:rPr>
          <w:rFonts w:ascii="Times New Roman" w:eastAsia="Times New Roman" w:hAnsi="Times New Roman" w:cs="Times New Roman"/>
          <w:i/>
          <w:sz w:val="28"/>
          <w:szCs w:val="28"/>
        </w:rPr>
        <w:t xml:space="preserve"> </w:t>
      </w:r>
      <w:proofErr w:type="spellStart"/>
      <w:r w:rsidRPr="00BB26AF">
        <w:rPr>
          <w:rFonts w:ascii="Times New Roman" w:eastAsia="Times New Roman" w:hAnsi="Times New Roman" w:cs="Times New Roman"/>
          <w:i/>
          <w:sz w:val="28"/>
          <w:szCs w:val="28"/>
        </w:rPr>
        <w:t>Authority</w:t>
      </w:r>
      <w:proofErr w:type="spellEnd"/>
      <w:r w:rsidRPr="00BB26AF">
        <w:rPr>
          <w:rFonts w:ascii="Times New Roman" w:eastAsia="Times New Roman" w:hAnsi="Times New Roman" w:cs="Times New Roman"/>
          <w:i/>
          <w:sz w:val="28"/>
          <w:szCs w:val="28"/>
        </w:rPr>
        <w:t xml:space="preserve"> </w:t>
      </w:r>
      <w:proofErr w:type="spellStart"/>
      <w:r w:rsidRPr="00BB26AF">
        <w:rPr>
          <w:rFonts w:ascii="Times New Roman" w:eastAsia="Times New Roman" w:hAnsi="Times New Roman" w:cs="Times New Roman"/>
          <w:i/>
          <w:sz w:val="28"/>
          <w:szCs w:val="28"/>
        </w:rPr>
        <w:t>Act</w:t>
      </w:r>
      <w:proofErr w:type="spellEnd"/>
      <w:r w:rsidRPr="00BB26AF">
        <w:rPr>
          <w:rFonts w:ascii="Times New Roman" w:eastAsia="Times New Roman" w:hAnsi="Times New Roman" w:cs="Times New Roman"/>
          <w:i/>
          <w:sz w:val="28"/>
          <w:szCs w:val="28"/>
        </w:rPr>
        <w:t xml:space="preserve"> 1998</w:t>
      </w:r>
      <w:r w:rsidRPr="00BB26AF">
        <w:rPr>
          <w:rFonts w:ascii="Times New Roman" w:eastAsia="Times New Roman" w:hAnsi="Times New Roman" w:cs="Times New Roman"/>
          <w:i/>
          <w:sz w:val="28"/>
          <w:szCs w:val="28"/>
          <w:vertAlign w:val="superscript"/>
        </w:rPr>
        <w:footnoteReference w:id="5"/>
      </w:r>
      <w:r w:rsidRPr="00BB26AF">
        <w:rPr>
          <w:rFonts w:ascii="Times New Roman" w:eastAsia="Times New Roman" w:hAnsi="Times New Roman" w:cs="Times New Roman"/>
          <w:sz w:val="28"/>
          <w:szCs w:val="28"/>
        </w:rPr>
        <w:t xml:space="preserve">. Она ответственна за пруденциальное регулирование отдельных финансовых учреждений и за обеспечение стабильности финансовой системы Австралии. Деятельность APRA финансируется за счет сборов, выплачиваемых институтами, которые она регулирует. </w:t>
      </w:r>
    </w:p>
    <w:p w:rsidR="00BB26AF" w:rsidRPr="00BB26AF" w:rsidRDefault="00BB26AF" w:rsidP="00BB26AF">
      <w:pPr>
        <w:spacing w:after="0" w:line="360" w:lineRule="auto"/>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ab/>
        <w:t>APRA контролирует депозитные учреждения (банки, строительные общества, кредитные кооперативы), различные страховые общества, общества взаимного страхования и пенсионные фонды (не включая самоуправляемые). В настоящее время общая стоимость активов контролируемых учреждений составляет четыре триллиона долларов</w:t>
      </w:r>
      <w:r w:rsidRPr="00BB26AF">
        <w:rPr>
          <w:rFonts w:ascii="Times New Roman" w:eastAsia="Times New Roman" w:hAnsi="Times New Roman" w:cs="Times New Roman"/>
          <w:sz w:val="28"/>
          <w:szCs w:val="28"/>
          <w:vertAlign w:val="superscript"/>
        </w:rPr>
        <w:footnoteReference w:id="6"/>
      </w:r>
      <w:r w:rsidRPr="00BB26AF">
        <w:rPr>
          <w:rFonts w:ascii="Times New Roman" w:eastAsia="Times New Roman" w:hAnsi="Times New Roman" w:cs="Times New Roman"/>
          <w:sz w:val="28"/>
          <w:szCs w:val="28"/>
        </w:rPr>
        <w:t xml:space="preserve">. Администрация устанавливает и внедряет стандарты пруденциального регулирования, направленные на выполнение финансовых обязательств, данных контролируемыми учреждениями своим клиентам. </w:t>
      </w:r>
    </w:p>
    <w:p w:rsidR="00BB26AF" w:rsidRPr="00BB26AF" w:rsidRDefault="00BB26AF" w:rsidP="00BB26AF">
      <w:pPr>
        <w:spacing w:after="0" w:line="360" w:lineRule="auto"/>
        <w:ind w:firstLine="720"/>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 xml:space="preserve">Помимо надзорных функций, APRA собирает статистическую информацию о регулируемых учреждениях и некоторых финансовых посредниках для своих собственных целей. Таким образом, она выступает в качестве национального статистического агентства в финансовом секторе, собирая информацию также по поручению Резервного банка Австралии и Австралийского бюро статистики. </w:t>
      </w:r>
    </w:p>
    <w:p w:rsidR="00BB26AF" w:rsidRPr="00BB26AF" w:rsidRDefault="00BB26AF" w:rsidP="00BB26AF">
      <w:pPr>
        <w:spacing w:after="0" w:line="360" w:lineRule="auto"/>
        <w:ind w:firstLine="720"/>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APRA способствует финансовой стабильности, требуя от контролируемых учреждений разумно управлять рисками для сведения к минимуму вероятности потерь финансовых сре</w:t>
      </w:r>
      <w:proofErr w:type="gramStart"/>
      <w:r w:rsidRPr="00BB26AF">
        <w:rPr>
          <w:rFonts w:ascii="Times New Roman" w:eastAsia="Times New Roman" w:hAnsi="Times New Roman" w:cs="Times New Roman"/>
          <w:sz w:val="28"/>
          <w:szCs w:val="28"/>
        </w:rPr>
        <w:t>дств вкл</w:t>
      </w:r>
      <w:proofErr w:type="gramEnd"/>
      <w:r w:rsidRPr="00BB26AF">
        <w:rPr>
          <w:rFonts w:ascii="Times New Roman" w:eastAsia="Times New Roman" w:hAnsi="Times New Roman" w:cs="Times New Roman"/>
          <w:sz w:val="28"/>
          <w:szCs w:val="28"/>
        </w:rPr>
        <w:t xml:space="preserve">адчиков. Она также </w:t>
      </w:r>
      <w:r w:rsidRPr="00BB26AF">
        <w:rPr>
          <w:rFonts w:ascii="Times New Roman" w:eastAsia="Times New Roman" w:hAnsi="Times New Roman" w:cs="Times New Roman"/>
          <w:sz w:val="28"/>
          <w:szCs w:val="28"/>
        </w:rPr>
        <w:lastRenderedPageBreak/>
        <w:t xml:space="preserve">ответственна за взаимодействие с финансовыми институтами, неспособными выполнить свои обязательства. В случае серьезных финансовых проблем, администрация сообщает об инциденте соответствующему министру. В этой области работа APRA осуществляется вместе с Резервным банком Австралии, который оказывает финансовую поддержку проблемным учреждениям, если это необходимо. Если же ситуация слишком критична, то администрация вправе прекратить деятельность неплатежеспособной организации путем её закрытия. Вкладчики </w:t>
      </w:r>
      <w:proofErr w:type="gramStart"/>
      <w:r w:rsidRPr="00BB26AF">
        <w:rPr>
          <w:rFonts w:ascii="Times New Roman" w:eastAsia="Times New Roman" w:hAnsi="Times New Roman" w:cs="Times New Roman"/>
          <w:sz w:val="28"/>
          <w:szCs w:val="28"/>
        </w:rPr>
        <w:t>остаются</w:t>
      </w:r>
      <w:proofErr w:type="gramEnd"/>
      <w:r w:rsidRPr="00BB26AF">
        <w:rPr>
          <w:rFonts w:ascii="Times New Roman" w:eastAsia="Times New Roman" w:hAnsi="Times New Roman" w:cs="Times New Roman"/>
          <w:sz w:val="28"/>
          <w:szCs w:val="28"/>
        </w:rPr>
        <w:t xml:space="preserve"> защищены, так как они становятся первыми лицами, претендующими на активы разорившегося учреждения. Более того, под контролем APRA в октябре 2008 года была образована схема финансовых претензий (FCS), согласно которой Правительство гарантирует защиту вкладов до 250000 долларов</w:t>
      </w:r>
      <w:r w:rsidRPr="00BB26AF">
        <w:rPr>
          <w:rFonts w:ascii="Times New Roman" w:eastAsia="Times New Roman" w:hAnsi="Times New Roman" w:cs="Times New Roman"/>
          <w:sz w:val="28"/>
          <w:szCs w:val="28"/>
          <w:vertAlign w:val="superscript"/>
        </w:rPr>
        <w:footnoteReference w:id="7"/>
      </w:r>
      <w:r w:rsidRPr="00BB26AF">
        <w:rPr>
          <w:rFonts w:ascii="Times New Roman" w:eastAsia="Times New Roman" w:hAnsi="Times New Roman" w:cs="Times New Roman"/>
          <w:sz w:val="28"/>
          <w:szCs w:val="28"/>
        </w:rPr>
        <w:t xml:space="preserve">. Схема компенсаций в случае разорения страховых компаний также предусмотрена. </w:t>
      </w:r>
    </w:p>
    <w:p w:rsidR="00BB26AF" w:rsidRPr="00BB26AF" w:rsidRDefault="00BB26AF" w:rsidP="00BB26AF">
      <w:pPr>
        <w:spacing w:after="0" w:line="360" w:lineRule="auto"/>
        <w:ind w:firstLine="720"/>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 xml:space="preserve">Деятельность администрации осуществляется в четырех областях: установление </w:t>
      </w:r>
      <w:proofErr w:type="spellStart"/>
      <w:r w:rsidRPr="00BB26AF">
        <w:rPr>
          <w:rFonts w:ascii="Times New Roman" w:eastAsia="Times New Roman" w:hAnsi="Times New Roman" w:cs="Times New Roman"/>
          <w:sz w:val="28"/>
          <w:szCs w:val="28"/>
        </w:rPr>
        <w:t>пруденциальных</w:t>
      </w:r>
      <w:proofErr w:type="spellEnd"/>
      <w:r w:rsidRPr="00BB26AF">
        <w:rPr>
          <w:rFonts w:ascii="Times New Roman" w:eastAsia="Times New Roman" w:hAnsi="Times New Roman" w:cs="Times New Roman"/>
          <w:sz w:val="28"/>
          <w:szCs w:val="28"/>
        </w:rPr>
        <w:t xml:space="preserve"> стандартов, оценка новых заявлений на получение лицензии, оценка финансовой устойчивости контролируемых учреждений, а также помощь организациям, испытывающим финансовые трудности. Рассмотрим каждую из четырех областей. </w:t>
      </w:r>
    </w:p>
    <w:p w:rsidR="00BB26AF" w:rsidRPr="00BB26AF" w:rsidRDefault="00BB26AF" w:rsidP="00BB26AF">
      <w:pPr>
        <w:spacing w:after="0" w:line="360" w:lineRule="auto"/>
        <w:ind w:firstLine="720"/>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 xml:space="preserve">APRA действует в рамках законов, принятых Парламентом Австралии. Именно эти законы наделили APRA властью устанавливать </w:t>
      </w:r>
      <w:proofErr w:type="spellStart"/>
      <w:r w:rsidRPr="00BB26AF">
        <w:rPr>
          <w:rFonts w:ascii="Times New Roman" w:eastAsia="Times New Roman" w:hAnsi="Times New Roman" w:cs="Times New Roman"/>
          <w:sz w:val="28"/>
          <w:szCs w:val="28"/>
        </w:rPr>
        <w:t>пруденциальные</w:t>
      </w:r>
      <w:proofErr w:type="spellEnd"/>
      <w:r w:rsidRPr="00BB26AF">
        <w:rPr>
          <w:rFonts w:ascii="Times New Roman" w:eastAsia="Times New Roman" w:hAnsi="Times New Roman" w:cs="Times New Roman"/>
          <w:sz w:val="28"/>
          <w:szCs w:val="28"/>
        </w:rPr>
        <w:t xml:space="preserve"> нормы, составляющие основу её регулятивной деятельности. Основной смысл этих стандартов заключается в сведении к минимуму возможных рисков путем их надлежащего управления. Более рискованные учреждения контролируются в большей степени. </w:t>
      </w:r>
      <w:proofErr w:type="spellStart"/>
      <w:r w:rsidRPr="00BB26AF">
        <w:rPr>
          <w:rFonts w:ascii="Times New Roman" w:eastAsia="Times New Roman" w:hAnsi="Times New Roman" w:cs="Times New Roman"/>
          <w:sz w:val="28"/>
          <w:szCs w:val="28"/>
        </w:rPr>
        <w:t>Пруденциальные</w:t>
      </w:r>
      <w:proofErr w:type="spellEnd"/>
      <w:r w:rsidRPr="00BB26AF">
        <w:rPr>
          <w:rFonts w:ascii="Times New Roman" w:eastAsia="Times New Roman" w:hAnsi="Times New Roman" w:cs="Times New Roman"/>
          <w:sz w:val="28"/>
          <w:szCs w:val="28"/>
        </w:rPr>
        <w:t xml:space="preserve"> стандарты затрагивают такие моменты, как достаточность капитала, корпоративное управление, качество и концентрация активов, разные виды рисков – операционный, рыночный, кредитный. Администрация осознает, что существует множество </w:t>
      </w:r>
      <w:r w:rsidRPr="00BB26AF">
        <w:rPr>
          <w:rFonts w:ascii="Times New Roman" w:eastAsia="Times New Roman" w:hAnsi="Times New Roman" w:cs="Times New Roman"/>
          <w:sz w:val="28"/>
          <w:szCs w:val="28"/>
        </w:rPr>
        <w:lastRenderedPageBreak/>
        <w:t xml:space="preserve">организаций, поэтому к каждой из них применяется особый подход, однако минимальные требования к достаточности капитала едины для всех. </w:t>
      </w:r>
    </w:p>
    <w:p w:rsidR="00BB26AF" w:rsidRPr="00BB26AF" w:rsidRDefault="00BB26AF" w:rsidP="00BB26AF">
      <w:pPr>
        <w:spacing w:after="0" w:line="360" w:lineRule="auto"/>
        <w:ind w:firstLine="720"/>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 xml:space="preserve">В оценку новых заявлений на получение лицензии входит рассмотрение качества менеджмента, репутации заявителя и достаточности ресурсов. Кандидаты должны продемонстрировать эффективную систему управления рисками, финансовую устойчивость, а также способность соответствовать всем </w:t>
      </w:r>
      <w:proofErr w:type="spellStart"/>
      <w:r w:rsidRPr="00BB26AF">
        <w:rPr>
          <w:rFonts w:ascii="Times New Roman" w:eastAsia="Times New Roman" w:hAnsi="Times New Roman" w:cs="Times New Roman"/>
          <w:sz w:val="28"/>
          <w:szCs w:val="28"/>
        </w:rPr>
        <w:t>пруденциальным</w:t>
      </w:r>
      <w:proofErr w:type="spellEnd"/>
      <w:r w:rsidRPr="00BB26AF">
        <w:rPr>
          <w:rFonts w:ascii="Times New Roman" w:eastAsia="Times New Roman" w:hAnsi="Times New Roman" w:cs="Times New Roman"/>
          <w:sz w:val="28"/>
          <w:szCs w:val="28"/>
        </w:rPr>
        <w:t xml:space="preserve"> стандартам. </w:t>
      </w:r>
    </w:p>
    <w:p w:rsidR="00BB26AF" w:rsidRPr="00BB26AF" w:rsidRDefault="00BB26AF" w:rsidP="00BB26AF">
      <w:pPr>
        <w:spacing w:after="0" w:line="360" w:lineRule="auto"/>
        <w:ind w:firstLine="720"/>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 xml:space="preserve">После выдачи лицензии, APRA должна убедиться, что контролируемые учреждения управляют своими рисками должным образом и соответствуют установленным критериям, а также должна выявить те организации, которые не могут или не хотят делать это. Для оценки финансовой устойчивости участников рынка APRA использует два вида анализа: внешний и внутренний. </w:t>
      </w:r>
    </w:p>
    <w:p w:rsidR="00BB26AF" w:rsidRPr="00BB26AF" w:rsidRDefault="00BB26AF" w:rsidP="00BB26AF">
      <w:pPr>
        <w:spacing w:after="0" w:line="360" w:lineRule="auto"/>
        <w:ind w:firstLine="720"/>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 xml:space="preserve">Внешний анализ проводится постоянно и подразумевает оценку финансовой устойчивости учреждения с вынесением решения о качестве управления. Он включает анализ достаточности капитала, доходов, различных финансовых показателей, основных рисков, изменений организационной структуры и механизмов управления. Представители APRA регулярно встречаются с руководством контролируемых организаций для рассмотрения результатов внешнего анализа. </w:t>
      </w:r>
    </w:p>
    <w:p w:rsidR="00BB26AF" w:rsidRPr="00BB26AF" w:rsidRDefault="00BB26AF" w:rsidP="00BB26AF">
      <w:pPr>
        <w:spacing w:after="0" w:line="360" w:lineRule="auto"/>
        <w:ind w:firstLine="720"/>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 xml:space="preserve">Члены APRA также посещают и сами регулируемые учреждения для осуществления внутреннего анализа. В ходе этих визитов проходят беседы с сотрудниками организаций, при необходимости рассматриваются некоторые документы. Внутренний анализ направлен на определенную область риска. Частота и продолжительность таких визитов определяется для каждой конкретной ситуации, однако в случае возрастающих рисков количество посещений увеличивается. </w:t>
      </w:r>
    </w:p>
    <w:p w:rsidR="00BB26AF" w:rsidRPr="00BB26AF" w:rsidRDefault="00BB26AF" w:rsidP="00BB26AF">
      <w:pPr>
        <w:spacing w:after="0" w:line="360" w:lineRule="auto"/>
        <w:ind w:firstLine="720"/>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Центральное место в системе оценки рисков занимают два инструмента, созданные в октябре 2002 года: рейтинговая система вероятностей и воздействия (</w:t>
      </w:r>
      <w:r w:rsidRPr="00BB26AF">
        <w:rPr>
          <w:rFonts w:ascii="Times New Roman" w:eastAsia="Times New Roman" w:hAnsi="Times New Roman" w:cs="Times New Roman"/>
          <w:sz w:val="28"/>
          <w:szCs w:val="28"/>
          <w:lang w:val="en-US"/>
        </w:rPr>
        <w:t>PAIRS</w:t>
      </w:r>
      <w:r w:rsidRPr="00BB26AF">
        <w:rPr>
          <w:rFonts w:ascii="Times New Roman" w:eastAsia="Times New Roman" w:hAnsi="Times New Roman" w:cs="Times New Roman"/>
          <w:sz w:val="28"/>
          <w:szCs w:val="28"/>
        </w:rPr>
        <w:t xml:space="preserve">) и система надзора и реагирования </w:t>
      </w:r>
      <w:r w:rsidRPr="00BB26AF">
        <w:rPr>
          <w:rFonts w:ascii="Times New Roman" w:eastAsia="Times New Roman" w:hAnsi="Times New Roman" w:cs="Times New Roman"/>
          <w:sz w:val="28"/>
          <w:szCs w:val="28"/>
        </w:rPr>
        <w:lastRenderedPageBreak/>
        <w:t xml:space="preserve">(SOARS). Два этих инструмента помогают осуществлять эффективный надзор, а также быстро и последовательно действовать в случае необходимости. Основной задачей </w:t>
      </w:r>
      <w:r w:rsidRPr="00BB26AF">
        <w:rPr>
          <w:rFonts w:ascii="Times New Roman" w:eastAsia="Times New Roman" w:hAnsi="Times New Roman" w:cs="Times New Roman"/>
          <w:sz w:val="28"/>
          <w:szCs w:val="28"/>
          <w:lang w:val="en-US"/>
        </w:rPr>
        <w:t>PAIRS</w:t>
      </w:r>
      <w:r w:rsidRPr="00BB26AF">
        <w:rPr>
          <w:rFonts w:ascii="Times New Roman" w:eastAsia="Times New Roman" w:hAnsi="Times New Roman" w:cs="Times New Roman"/>
          <w:sz w:val="28"/>
          <w:szCs w:val="28"/>
        </w:rPr>
        <w:t xml:space="preserve"> является оценка вероятности того, что финансовый институт может не выполнить свои обязательства, и анализ последствий такой ситуации. Но так как определения рисков недостаточно, </w:t>
      </w:r>
      <w:proofErr w:type="gramStart"/>
      <w:r w:rsidRPr="00BB26AF">
        <w:rPr>
          <w:rFonts w:ascii="Times New Roman" w:eastAsia="Times New Roman" w:hAnsi="Times New Roman" w:cs="Times New Roman"/>
          <w:sz w:val="28"/>
          <w:szCs w:val="28"/>
        </w:rPr>
        <w:t>создана</w:t>
      </w:r>
      <w:proofErr w:type="gramEnd"/>
      <w:r w:rsidRPr="00BB26AF">
        <w:rPr>
          <w:rFonts w:ascii="Times New Roman" w:eastAsia="Times New Roman" w:hAnsi="Times New Roman" w:cs="Times New Roman"/>
          <w:sz w:val="28"/>
          <w:szCs w:val="28"/>
        </w:rPr>
        <w:t xml:space="preserve"> SOARS, чтобы отвечать на выявленные угрозы лучшим образом. </w:t>
      </w:r>
    </w:p>
    <w:p w:rsidR="00BB26AF" w:rsidRPr="00BB26AF" w:rsidRDefault="00BB26AF" w:rsidP="00BB26AF">
      <w:pPr>
        <w:spacing w:after="0" w:line="360" w:lineRule="auto"/>
        <w:ind w:firstLine="720"/>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 xml:space="preserve">Четвертой сферой деятельности APRA является помощь организациям, испытывающим финансовые трудности. Время от времени некоторые учреждения не хотят или не могут соответствовать установленным </w:t>
      </w:r>
      <w:proofErr w:type="spellStart"/>
      <w:r w:rsidRPr="00BB26AF">
        <w:rPr>
          <w:rFonts w:ascii="Times New Roman" w:eastAsia="Times New Roman" w:hAnsi="Times New Roman" w:cs="Times New Roman"/>
          <w:sz w:val="28"/>
          <w:szCs w:val="28"/>
        </w:rPr>
        <w:t>пруденциальным</w:t>
      </w:r>
      <w:proofErr w:type="spellEnd"/>
      <w:r w:rsidRPr="00BB26AF">
        <w:rPr>
          <w:rFonts w:ascii="Times New Roman" w:eastAsia="Times New Roman" w:hAnsi="Times New Roman" w:cs="Times New Roman"/>
          <w:sz w:val="28"/>
          <w:szCs w:val="28"/>
        </w:rPr>
        <w:t xml:space="preserve"> стандартам. APRA сотрудничает с этими институтами для исправления их положения. APRA уполномочена вмешиваться в деятельность контролируемых учреждений, если есть угроза стабильности финансовой системы. Поэтому она может проводить любые расследования касаемо функционирования институтов и определять дальнейшее направление их развития. В крайних случаях APRA может обратиться в Федеральный Суд, чтобы отстранить человека от деятельности в учреждении или назначить нового, которому передадут контроль над институтом. </w:t>
      </w:r>
    </w:p>
    <w:p w:rsidR="00BB26AF" w:rsidRPr="00BB26AF" w:rsidRDefault="00BB26AF" w:rsidP="00BB26AF">
      <w:pPr>
        <w:spacing w:after="0" w:line="360" w:lineRule="auto"/>
        <w:ind w:firstLine="720"/>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 xml:space="preserve">Таким образом, все контролируемые институты должны обеспечивать финансовую устойчивость и целесообразно управлять рисками. </w:t>
      </w:r>
      <w:proofErr w:type="spellStart"/>
      <w:r w:rsidRPr="00BB26AF">
        <w:rPr>
          <w:rFonts w:ascii="Times New Roman" w:eastAsia="Times New Roman" w:hAnsi="Times New Roman" w:cs="Times New Roman"/>
          <w:sz w:val="28"/>
          <w:szCs w:val="28"/>
        </w:rPr>
        <w:t>Пруденциальный</w:t>
      </w:r>
      <w:proofErr w:type="spellEnd"/>
      <w:r w:rsidRPr="00BB26AF">
        <w:rPr>
          <w:rFonts w:ascii="Times New Roman" w:eastAsia="Times New Roman" w:hAnsi="Times New Roman" w:cs="Times New Roman"/>
          <w:sz w:val="28"/>
          <w:szCs w:val="28"/>
        </w:rPr>
        <w:t xml:space="preserve"> регулятор APRA призван минимизировать возможность разорения контролируемых организаций. APRA </w:t>
      </w:r>
      <w:proofErr w:type="gramStart"/>
      <w:r w:rsidRPr="00BB26AF">
        <w:rPr>
          <w:rFonts w:ascii="Times New Roman" w:eastAsia="Times New Roman" w:hAnsi="Times New Roman" w:cs="Times New Roman"/>
          <w:sz w:val="28"/>
          <w:szCs w:val="28"/>
        </w:rPr>
        <w:t>стремится</w:t>
      </w:r>
      <w:proofErr w:type="gramEnd"/>
      <w:r w:rsidRPr="00BB26AF">
        <w:rPr>
          <w:rFonts w:ascii="Times New Roman" w:eastAsia="Times New Roman" w:hAnsi="Times New Roman" w:cs="Times New Roman"/>
          <w:sz w:val="28"/>
          <w:szCs w:val="28"/>
        </w:rPr>
        <w:t xml:space="preserve"> вмешаться в деятельность института как можно раньше, чтобы предупредить о серьезных проблемах, предотвратить их появление и разработать план действий на случай их возникновения. </w:t>
      </w:r>
    </w:p>
    <w:p w:rsidR="00BB26AF" w:rsidRPr="00BB26AF" w:rsidRDefault="00BB26AF" w:rsidP="00BB26AF">
      <w:pPr>
        <w:spacing w:after="0" w:line="360" w:lineRule="auto"/>
        <w:ind w:firstLine="720"/>
        <w:jc w:val="both"/>
        <w:rPr>
          <w:rFonts w:ascii="Times New Roman" w:eastAsia="Times New Roman" w:hAnsi="Times New Roman" w:cs="Times New Roman"/>
          <w:sz w:val="28"/>
          <w:szCs w:val="28"/>
        </w:rPr>
      </w:pPr>
    </w:p>
    <w:p w:rsidR="00BB26AF" w:rsidRPr="00BB26AF" w:rsidRDefault="00BB26AF" w:rsidP="00BB26AF">
      <w:pPr>
        <w:spacing w:after="0" w:line="360" w:lineRule="auto"/>
        <w:jc w:val="both"/>
        <w:rPr>
          <w:rFonts w:ascii="Times New Roman" w:eastAsia="Times New Roman" w:hAnsi="Times New Roman" w:cs="Times New Roman"/>
          <w:sz w:val="28"/>
          <w:szCs w:val="28"/>
        </w:rPr>
      </w:pPr>
      <w:r w:rsidRPr="00BB26AF">
        <w:rPr>
          <w:rFonts w:ascii="Times New Roman" w:eastAsia="Times New Roman" w:hAnsi="Times New Roman" w:cs="Times New Roman"/>
          <w:b/>
          <w:sz w:val="28"/>
          <w:szCs w:val="28"/>
        </w:rPr>
        <w:t>2.3. Работа Австралийской комиссии по ценным бумагам и инвестициям (</w:t>
      </w:r>
      <w:r w:rsidRPr="00BB26AF">
        <w:rPr>
          <w:rFonts w:ascii="Times New Roman" w:eastAsia="Times New Roman" w:hAnsi="Times New Roman" w:cs="Times New Roman"/>
          <w:b/>
          <w:sz w:val="28"/>
          <w:szCs w:val="28"/>
          <w:lang w:val="en-US"/>
        </w:rPr>
        <w:t>ASIC</w:t>
      </w:r>
      <w:r w:rsidRPr="00BB26AF">
        <w:rPr>
          <w:rFonts w:ascii="Times New Roman" w:eastAsia="Times New Roman" w:hAnsi="Times New Roman" w:cs="Times New Roman"/>
          <w:b/>
          <w:sz w:val="28"/>
          <w:szCs w:val="28"/>
        </w:rPr>
        <w:t>)</w:t>
      </w:r>
    </w:p>
    <w:p w:rsidR="00BB26AF" w:rsidRPr="00BB26AF" w:rsidRDefault="00BB26AF" w:rsidP="00BB26AF">
      <w:pPr>
        <w:spacing w:after="0" w:line="360" w:lineRule="auto"/>
        <w:ind w:firstLine="720"/>
        <w:jc w:val="both"/>
        <w:rPr>
          <w:rFonts w:ascii="Times New Roman" w:eastAsia="Times New Roman" w:hAnsi="Times New Roman" w:cs="Times New Roman"/>
          <w:sz w:val="28"/>
          <w:szCs w:val="28"/>
        </w:rPr>
      </w:pPr>
    </w:p>
    <w:p w:rsidR="00BB26AF" w:rsidRPr="00BB26AF" w:rsidRDefault="00BB26AF" w:rsidP="00BB26AF">
      <w:pPr>
        <w:spacing w:after="0" w:line="360" w:lineRule="auto"/>
        <w:ind w:firstLine="720"/>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 xml:space="preserve">Австралийская комиссия по ценным бумагам и инвестициям является независимым учреждением, регулирующим деятельность финансовых </w:t>
      </w:r>
      <w:r w:rsidRPr="00BB26AF">
        <w:rPr>
          <w:rFonts w:ascii="Times New Roman" w:eastAsia="Times New Roman" w:hAnsi="Times New Roman" w:cs="Times New Roman"/>
          <w:sz w:val="28"/>
          <w:szCs w:val="28"/>
        </w:rPr>
        <w:lastRenderedPageBreak/>
        <w:t xml:space="preserve">институтов и способствующим защите инвесторов, кредиторов и потребителей. Организация начала свою деятельность в 1991 году как Австралийская комиссия по ценным бумагам (ASC). В 1998 году учреждение переименовали в Австралийскую комиссию по ценным бумагам и инвестициям, включив в круг её полномочий защиту потребителей в областях страхования, открытия вкладов и пенсионного обеспечения. </w:t>
      </w:r>
    </w:p>
    <w:p w:rsidR="00BB26AF" w:rsidRPr="00BB26AF" w:rsidRDefault="00BB26AF" w:rsidP="00BB26AF">
      <w:pPr>
        <w:spacing w:after="0" w:line="360" w:lineRule="auto"/>
        <w:ind w:firstLine="720"/>
        <w:jc w:val="both"/>
        <w:rPr>
          <w:rFonts w:ascii="Times New Roman" w:eastAsia="Times New Roman" w:hAnsi="Times New Roman" w:cs="Times New Roman"/>
          <w:sz w:val="28"/>
          <w:szCs w:val="28"/>
        </w:rPr>
      </w:pPr>
      <w:proofErr w:type="gramStart"/>
      <w:r w:rsidRPr="00BB26AF">
        <w:rPr>
          <w:rFonts w:ascii="Times New Roman" w:eastAsia="Times New Roman" w:hAnsi="Times New Roman" w:cs="Times New Roman"/>
          <w:i/>
          <w:sz w:val="28"/>
          <w:szCs w:val="28"/>
          <w:lang w:val="en-US"/>
        </w:rPr>
        <w:t>Australian</w:t>
      </w:r>
      <w:r w:rsidRPr="00BB26AF">
        <w:rPr>
          <w:rFonts w:ascii="Times New Roman" w:eastAsia="Times New Roman" w:hAnsi="Times New Roman" w:cs="Times New Roman"/>
          <w:i/>
          <w:sz w:val="28"/>
          <w:szCs w:val="28"/>
        </w:rPr>
        <w:t xml:space="preserve"> </w:t>
      </w:r>
      <w:r w:rsidRPr="00BB26AF">
        <w:rPr>
          <w:rFonts w:ascii="Times New Roman" w:eastAsia="Times New Roman" w:hAnsi="Times New Roman" w:cs="Times New Roman"/>
          <w:i/>
          <w:sz w:val="28"/>
          <w:szCs w:val="28"/>
          <w:lang w:val="en-US"/>
        </w:rPr>
        <w:t>Securities</w:t>
      </w:r>
      <w:r w:rsidRPr="00BB26AF">
        <w:rPr>
          <w:rFonts w:ascii="Times New Roman" w:eastAsia="Times New Roman" w:hAnsi="Times New Roman" w:cs="Times New Roman"/>
          <w:i/>
          <w:sz w:val="28"/>
          <w:szCs w:val="28"/>
        </w:rPr>
        <w:t xml:space="preserve"> </w:t>
      </w:r>
      <w:r w:rsidRPr="00BB26AF">
        <w:rPr>
          <w:rFonts w:ascii="Times New Roman" w:eastAsia="Times New Roman" w:hAnsi="Times New Roman" w:cs="Times New Roman"/>
          <w:i/>
          <w:sz w:val="28"/>
          <w:szCs w:val="28"/>
          <w:lang w:val="en-US"/>
        </w:rPr>
        <w:t>and</w:t>
      </w:r>
      <w:r w:rsidRPr="00BB26AF">
        <w:rPr>
          <w:rFonts w:ascii="Times New Roman" w:eastAsia="Times New Roman" w:hAnsi="Times New Roman" w:cs="Times New Roman"/>
          <w:i/>
          <w:sz w:val="28"/>
          <w:szCs w:val="28"/>
        </w:rPr>
        <w:t xml:space="preserve"> </w:t>
      </w:r>
      <w:r w:rsidRPr="00BB26AF">
        <w:rPr>
          <w:rFonts w:ascii="Times New Roman" w:eastAsia="Times New Roman" w:hAnsi="Times New Roman" w:cs="Times New Roman"/>
          <w:i/>
          <w:sz w:val="28"/>
          <w:szCs w:val="28"/>
          <w:lang w:val="en-US"/>
        </w:rPr>
        <w:t>Investments</w:t>
      </w:r>
      <w:r w:rsidRPr="00BB26AF">
        <w:rPr>
          <w:rFonts w:ascii="Times New Roman" w:eastAsia="Times New Roman" w:hAnsi="Times New Roman" w:cs="Times New Roman"/>
          <w:i/>
          <w:sz w:val="28"/>
          <w:szCs w:val="28"/>
        </w:rPr>
        <w:t xml:space="preserve"> </w:t>
      </w:r>
      <w:r w:rsidRPr="00BB26AF">
        <w:rPr>
          <w:rFonts w:ascii="Times New Roman" w:eastAsia="Times New Roman" w:hAnsi="Times New Roman" w:cs="Times New Roman"/>
          <w:i/>
          <w:sz w:val="28"/>
          <w:szCs w:val="28"/>
          <w:lang w:val="en-US"/>
        </w:rPr>
        <w:t>Commission</w:t>
      </w:r>
      <w:r w:rsidRPr="00BB26AF">
        <w:rPr>
          <w:rFonts w:ascii="Times New Roman" w:eastAsia="Times New Roman" w:hAnsi="Times New Roman" w:cs="Times New Roman"/>
          <w:i/>
          <w:sz w:val="28"/>
          <w:szCs w:val="28"/>
        </w:rPr>
        <w:t xml:space="preserve"> </w:t>
      </w:r>
      <w:r w:rsidRPr="00BB26AF">
        <w:rPr>
          <w:rFonts w:ascii="Times New Roman" w:eastAsia="Times New Roman" w:hAnsi="Times New Roman" w:cs="Times New Roman"/>
          <w:i/>
          <w:sz w:val="28"/>
          <w:szCs w:val="28"/>
          <w:lang w:val="en-US"/>
        </w:rPr>
        <w:t>Act</w:t>
      </w:r>
      <w:r w:rsidRPr="00BB26AF">
        <w:rPr>
          <w:rFonts w:ascii="Times New Roman" w:eastAsia="Times New Roman" w:hAnsi="Times New Roman" w:cs="Times New Roman"/>
          <w:i/>
          <w:sz w:val="28"/>
          <w:szCs w:val="28"/>
        </w:rPr>
        <w:t xml:space="preserve"> 2001</w:t>
      </w:r>
      <w:r w:rsidRPr="00BB26AF">
        <w:rPr>
          <w:rFonts w:ascii="Times New Roman" w:eastAsia="Times New Roman" w:hAnsi="Times New Roman" w:cs="Times New Roman"/>
          <w:i/>
          <w:sz w:val="28"/>
          <w:szCs w:val="28"/>
          <w:vertAlign w:val="superscript"/>
          <w:lang w:val="en-US"/>
        </w:rPr>
        <w:footnoteReference w:id="8"/>
      </w:r>
      <w:r w:rsidRPr="00BB26AF">
        <w:rPr>
          <w:rFonts w:ascii="Times New Roman" w:eastAsia="Times New Roman" w:hAnsi="Times New Roman" w:cs="Times New Roman"/>
          <w:sz w:val="28"/>
          <w:szCs w:val="28"/>
        </w:rPr>
        <w:t xml:space="preserve"> описывает основные направления деятельности комиссии.</w:t>
      </w:r>
      <w:proofErr w:type="gramEnd"/>
      <w:r w:rsidRPr="00BB26AF">
        <w:rPr>
          <w:rFonts w:ascii="Times New Roman" w:eastAsia="Times New Roman" w:hAnsi="Times New Roman" w:cs="Times New Roman"/>
          <w:sz w:val="28"/>
          <w:szCs w:val="28"/>
        </w:rPr>
        <w:t xml:space="preserve"> Среди них улучшение функционирования финансовой системы, содействие вовлечению инвесторов и потребителей в финансовые рынки и обеспечение их достаточной информированности, </w:t>
      </w:r>
      <w:proofErr w:type="gramStart"/>
      <w:r w:rsidRPr="00BB26AF">
        <w:rPr>
          <w:rFonts w:ascii="Times New Roman" w:eastAsia="Times New Roman" w:hAnsi="Times New Roman" w:cs="Times New Roman"/>
          <w:sz w:val="28"/>
          <w:szCs w:val="28"/>
        </w:rPr>
        <w:t>контроль за</w:t>
      </w:r>
      <w:proofErr w:type="gramEnd"/>
      <w:r w:rsidRPr="00BB26AF">
        <w:rPr>
          <w:rFonts w:ascii="Times New Roman" w:eastAsia="Times New Roman" w:hAnsi="Times New Roman" w:cs="Times New Roman"/>
          <w:sz w:val="28"/>
          <w:szCs w:val="28"/>
        </w:rPr>
        <w:t xml:space="preserve"> соблюдением законов, обработка и хранение информации, а также её предоставление общественности. </w:t>
      </w:r>
    </w:p>
    <w:p w:rsidR="00BB26AF" w:rsidRPr="00BB26AF" w:rsidRDefault="0028774B" w:rsidP="00BB26AF">
      <w:pPr>
        <w:spacing w:after="0" w:line="360" w:lineRule="auto"/>
        <w:ind w:firstLine="720"/>
        <w:jc w:val="both"/>
        <w:rPr>
          <w:rFonts w:ascii="Times New Roman" w:eastAsia="Times New Roman" w:hAnsi="Times New Roman" w:cs="Times New Roman"/>
          <w:sz w:val="28"/>
          <w:szCs w:val="28"/>
        </w:rPr>
      </w:pPr>
      <w:r w:rsidRPr="00BB26A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63237AF2" wp14:editId="633092AB">
                <wp:simplePos x="0" y="0"/>
                <wp:positionH relativeFrom="column">
                  <wp:posOffset>-177165</wp:posOffset>
                </wp:positionH>
                <wp:positionV relativeFrom="paragraph">
                  <wp:posOffset>4777740</wp:posOffset>
                </wp:positionV>
                <wp:extent cx="5940425" cy="409575"/>
                <wp:effectExtent l="0" t="0" r="3175" b="0"/>
                <wp:wrapTight wrapText="bothSides">
                  <wp:wrapPolygon edited="0">
                    <wp:start x="0" y="0"/>
                    <wp:lineTo x="0" y="20618"/>
                    <wp:lineTo x="21542" y="20618"/>
                    <wp:lineTo x="21542" y="0"/>
                    <wp:lineTo x="0" y="0"/>
                  </wp:wrapPolygon>
                </wp:wrapTight>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Default="00DA0396" w:rsidP="00BB26AF">
                            <w:pPr>
                              <w:pStyle w:val="aa"/>
                              <w:jc w:val="right"/>
                              <w:rPr>
                                <w:rFonts w:ascii="Times New Roman" w:hAnsi="Times New Roman"/>
                                <w:noProof/>
                                <w:color w:val="auto"/>
                                <w:sz w:val="20"/>
                                <w:szCs w:val="20"/>
                                <w:lang w:val="en-US"/>
                              </w:rPr>
                            </w:pPr>
                            <w:r>
                              <w:rPr>
                                <w:rFonts w:ascii="Times New Roman" w:hAnsi="Times New Roman"/>
                                <w:color w:val="auto"/>
                                <w:sz w:val="20"/>
                                <w:szCs w:val="20"/>
                              </w:rPr>
                              <w:t>Источник</w:t>
                            </w:r>
                            <w:r>
                              <w:rPr>
                                <w:rFonts w:ascii="Times New Roman" w:hAnsi="Times New Roman"/>
                                <w:color w:val="auto"/>
                                <w:sz w:val="20"/>
                                <w:szCs w:val="20"/>
                                <w:lang w:val="en-US"/>
                              </w:rPr>
                              <w:t xml:space="preserve">: </w:t>
                            </w:r>
                            <w:proofErr w:type="gramStart"/>
                            <w:r>
                              <w:rPr>
                                <w:rFonts w:ascii="Times New Roman" w:hAnsi="Times New Roman"/>
                                <w:color w:val="auto"/>
                                <w:sz w:val="20"/>
                                <w:szCs w:val="20"/>
                                <w:lang w:val="en-US"/>
                              </w:rPr>
                              <w:t>Group of Thirty, «The structure of Financial Supervision.</w:t>
                            </w:r>
                            <w:proofErr w:type="gramEnd"/>
                            <w:r>
                              <w:rPr>
                                <w:rFonts w:ascii="Times New Roman" w:hAnsi="Times New Roman"/>
                                <w:color w:val="auto"/>
                                <w:sz w:val="20"/>
                                <w:szCs w:val="20"/>
                                <w:lang w:val="en-US"/>
                              </w:rPr>
                              <w:t xml:space="preserve"> Approaches and Challenges in a Global Marketplace», 2008, p. 1</w:t>
                            </w:r>
                            <w:r>
                              <w:rPr>
                                <w:rFonts w:ascii="Times New Roman" w:hAnsi="Times New Roman"/>
                                <w:color w:val="auto"/>
                                <w:sz w:val="20"/>
                                <w:szCs w:val="20"/>
                              </w:rPr>
                              <w:t>9</w:t>
                            </w:r>
                            <w:r>
                              <w:rPr>
                                <w:rFonts w:ascii="Times New Roman" w:hAnsi="Times New Roman"/>
                                <w:color w:val="auto"/>
                                <w:sz w:val="20"/>
                                <w:szCs w:val="20"/>
                                <w:lang w:val="en-US"/>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6" o:spid="_x0000_s1030" type="#_x0000_t202" style="position:absolute;left:0;text-align:left;margin-left:-13.95pt;margin-top:376.2pt;width:467.7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" stroked="f">
                <v:textbox style="mso-fit-shape-to-text:t" inset="0,0,0,0">
                  <w:txbxContent>
                    <w:p w:rsidR="00DA0396" w:rsidRDefault="00DA0396" w:rsidP="00BB26AF">
                      <w:pPr>
                        <w:pStyle w:val="aa"/>
                        <w:jc w:val="right"/>
                        <w:rPr>
                          <w:rFonts w:ascii="Times New Roman" w:hAnsi="Times New Roman"/>
                          <w:noProof/>
                          <w:color w:val="auto"/>
                          <w:sz w:val="20"/>
                          <w:szCs w:val="20"/>
                          <w:lang w:val="en-US"/>
                        </w:rPr>
                      </w:pPr>
                      <w:r>
                        <w:rPr>
                          <w:rFonts w:ascii="Times New Roman" w:hAnsi="Times New Roman"/>
                          <w:color w:val="auto"/>
                          <w:sz w:val="20"/>
                          <w:szCs w:val="20"/>
                        </w:rPr>
                        <w:t>Источник</w:t>
                      </w:r>
                      <w:r>
                        <w:rPr>
                          <w:rFonts w:ascii="Times New Roman" w:hAnsi="Times New Roman"/>
                          <w:color w:val="auto"/>
                          <w:sz w:val="20"/>
                          <w:szCs w:val="20"/>
                          <w:lang w:val="en-US"/>
                        </w:rPr>
                        <w:t xml:space="preserve">: </w:t>
                      </w:r>
                      <w:proofErr w:type="gramStart"/>
                      <w:r>
                        <w:rPr>
                          <w:rFonts w:ascii="Times New Roman" w:hAnsi="Times New Roman"/>
                          <w:color w:val="auto"/>
                          <w:sz w:val="20"/>
                          <w:szCs w:val="20"/>
                          <w:lang w:val="en-US"/>
                        </w:rPr>
                        <w:t>Group of Thirty, «The structure of Financial Supervision.</w:t>
                      </w:r>
                      <w:proofErr w:type="gramEnd"/>
                      <w:r>
                        <w:rPr>
                          <w:rFonts w:ascii="Times New Roman" w:hAnsi="Times New Roman"/>
                          <w:color w:val="auto"/>
                          <w:sz w:val="20"/>
                          <w:szCs w:val="20"/>
                          <w:lang w:val="en-US"/>
                        </w:rPr>
                        <w:t xml:space="preserve"> Approaches and Challenges in a Global Marketplace», 2008, p. 1</w:t>
                      </w:r>
                      <w:r>
                        <w:rPr>
                          <w:rFonts w:ascii="Times New Roman" w:hAnsi="Times New Roman"/>
                          <w:color w:val="auto"/>
                          <w:sz w:val="20"/>
                          <w:szCs w:val="20"/>
                        </w:rPr>
                        <w:t>9</w:t>
                      </w:r>
                      <w:r>
                        <w:rPr>
                          <w:rFonts w:ascii="Times New Roman" w:hAnsi="Times New Roman"/>
                          <w:color w:val="auto"/>
                          <w:sz w:val="20"/>
                          <w:szCs w:val="20"/>
                          <w:lang w:val="en-US"/>
                        </w:rPr>
                        <w:t>3.</w:t>
                      </w:r>
                    </w:p>
                  </w:txbxContent>
                </v:textbox>
                <w10:wrap type="tight"/>
              </v:shape>
            </w:pict>
          </mc:Fallback>
        </mc:AlternateContent>
      </w:r>
      <w:r w:rsidRPr="00BB26AF">
        <w:rPr>
          <w:rFonts w:ascii="Times New Roman" w:eastAsia="Times New Roman" w:hAnsi="Times New Roman" w:cs="Times New Roman"/>
          <w:noProof/>
          <w:sz w:val="24"/>
          <w:szCs w:val="24"/>
          <w:lang w:eastAsia="ru-RU"/>
        </w:rPr>
        <w:drawing>
          <wp:anchor distT="0" distB="0" distL="114300" distR="114300" simplePos="0" relativeHeight="251665408" behindDoc="0" locked="0" layoutInCell="1" allowOverlap="1" wp14:anchorId="63194652" wp14:editId="5BABA69B">
            <wp:simplePos x="0" y="0"/>
            <wp:positionH relativeFrom="column">
              <wp:posOffset>-171450</wp:posOffset>
            </wp:positionH>
            <wp:positionV relativeFrom="paragraph">
              <wp:posOffset>2566035</wp:posOffset>
            </wp:positionV>
            <wp:extent cx="6305550" cy="2265045"/>
            <wp:effectExtent l="0" t="0" r="0" b="1905"/>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5550" cy="2265045"/>
                    </a:xfrm>
                    <a:prstGeom prst="rect">
                      <a:avLst/>
                    </a:prstGeom>
                    <a:noFill/>
                  </pic:spPr>
                </pic:pic>
              </a:graphicData>
            </a:graphic>
            <wp14:sizeRelH relativeFrom="page">
              <wp14:pctWidth>0</wp14:pctWidth>
            </wp14:sizeRelH>
            <wp14:sizeRelV relativeFrom="page">
              <wp14:pctHeight>0</wp14:pctHeight>
            </wp14:sizeRelV>
          </wp:anchor>
        </w:drawing>
      </w:r>
      <w:r w:rsidRPr="00BB26A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63EB0B6F" wp14:editId="4B227C83">
                <wp:simplePos x="0" y="0"/>
                <wp:positionH relativeFrom="column">
                  <wp:posOffset>-123825</wp:posOffset>
                </wp:positionH>
                <wp:positionV relativeFrom="paragraph">
                  <wp:posOffset>2376805</wp:posOffset>
                </wp:positionV>
                <wp:extent cx="5940425" cy="228600"/>
                <wp:effectExtent l="0" t="0" r="3175" b="0"/>
                <wp:wrapTight wrapText="bothSides">
                  <wp:wrapPolygon edited="0">
                    <wp:start x="0" y="0"/>
                    <wp:lineTo x="0" y="19800"/>
                    <wp:lineTo x="21542" y="19800"/>
                    <wp:lineTo x="21542" y="0"/>
                    <wp:lineTo x="0" y="0"/>
                  </wp:wrapPolygon>
                </wp:wrapTight>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Default="00DA0396" w:rsidP="00BB26AF">
                            <w:pPr>
                              <w:pStyle w:val="aa"/>
                              <w:jc w:val="center"/>
                              <w:rPr>
                                <w:rFonts w:ascii="Times New Roman" w:hAnsi="Times New Roman"/>
                                <w:color w:val="auto"/>
                                <w:sz w:val="24"/>
                                <w:szCs w:val="24"/>
                              </w:rPr>
                            </w:pPr>
                            <w:r>
                              <w:rPr>
                                <w:rFonts w:ascii="Times New Roman" w:hAnsi="Times New Roman"/>
                                <w:color w:val="auto"/>
                                <w:sz w:val="24"/>
                                <w:szCs w:val="24"/>
                              </w:rPr>
                              <w:t>Схема 3: Структура финансового регулирования Австралии</w:t>
                            </w:r>
                          </w:p>
                          <w:p w:rsidR="00DA0396" w:rsidRDefault="00DA0396" w:rsidP="00BB26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1" type="#_x0000_t202" style="position:absolute;left:0;text-align:left;margin-left:-9.75pt;margin-top:187.15pt;width:467.7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" stroked="f">
                <v:textbox inset="0,0,0,0">
                  <w:txbxContent>
                    <w:p w:rsidR="00DA0396" w:rsidRDefault="00DA0396" w:rsidP="00BB26AF">
                      <w:pPr>
                        <w:pStyle w:val="aa"/>
                        <w:jc w:val="center"/>
                        <w:rPr>
                          <w:rFonts w:ascii="Times New Roman" w:hAnsi="Times New Roman"/>
                          <w:color w:val="auto"/>
                          <w:sz w:val="24"/>
                          <w:szCs w:val="24"/>
                        </w:rPr>
                      </w:pPr>
                      <w:r>
                        <w:rPr>
                          <w:rFonts w:ascii="Times New Roman" w:hAnsi="Times New Roman"/>
                          <w:color w:val="auto"/>
                          <w:sz w:val="24"/>
                          <w:szCs w:val="24"/>
                        </w:rPr>
                        <w:t>Схема 3: Структура финансового регулирования Австралии</w:t>
                      </w:r>
                    </w:p>
                    <w:p w:rsidR="00DA0396" w:rsidRDefault="00DA0396" w:rsidP="00BB26AF"/>
                  </w:txbxContent>
                </v:textbox>
                <w10:wrap type="tight"/>
              </v:shape>
            </w:pict>
          </mc:Fallback>
        </mc:AlternateContent>
      </w:r>
      <w:r w:rsidR="00BB26AF" w:rsidRPr="00BB26AF">
        <w:rPr>
          <w:rFonts w:ascii="Times New Roman" w:eastAsia="Times New Roman" w:hAnsi="Times New Roman" w:cs="Times New Roman"/>
          <w:sz w:val="28"/>
          <w:szCs w:val="28"/>
        </w:rPr>
        <w:t>ASIC является членом совета финансовых регуляторов (</w:t>
      </w:r>
      <w:r w:rsidR="00BB26AF" w:rsidRPr="00BB26AF">
        <w:rPr>
          <w:rFonts w:ascii="Times New Roman" w:eastAsia="Times New Roman" w:hAnsi="Times New Roman" w:cs="Times New Roman"/>
          <w:sz w:val="28"/>
          <w:szCs w:val="28"/>
          <w:lang w:val="en-US"/>
        </w:rPr>
        <w:t>CFR</w:t>
      </w:r>
      <w:r w:rsidR="00BB26AF" w:rsidRPr="00BB26AF">
        <w:rPr>
          <w:rFonts w:ascii="Times New Roman" w:eastAsia="Times New Roman" w:hAnsi="Times New Roman" w:cs="Times New Roman"/>
          <w:sz w:val="28"/>
          <w:szCs w:val="28"/>
        </w:rPr>
        <w:t>) – органа, координирующего деятельность регулирующих учреждений в Австралии. В данный совет также входит Резервный банк Австралии, Казначейство и Австралийская администрация регулирования с совещательным правом. Структура системы финансового регулирования Австралии изображена на схеме 3. ASIC также сотрудничает с Австралийской комиссией по вопросам конкуренции и защиты потребителей и входит в международную организацию комиссий по ценным бумагам (</w:t>
      </w:r>
      <w:r w:rsidR="00BB26AF" w:rsidRPr="00BB26AF">
        <w:rPr>
          <w:rFonts w:ascii="Times New Roman" w:eastAsia="Times New Roman" w:hAnsi="Times New Roman" w:cs="Times New Roman"/>
          <w:sz w:val="28"/>
          <w:szCs w:val="28"/>
          <w:lang w:val="en-US"/>
        </w:rPr>
        <w:t>IOSCO</w:t>
      </w:r>
      <w:r w:rsidR="00BB26AF" w:rsidRPr="00BB26AF">
        <w:rPr>
          <w:rFonts w:ascii="Times New Roman" w:eastAsia="Times New Roman" w:hAnsi="Times New Roman" w:cs="Times New Roman"/>
          <w:sz w:val="28"/>
          <w:szCs w:val="28"/>
        </w:rPr>
        <w:t xml:space="preserve">). </w:t>
      </w:r>
    </w:p>
    <w:p w:rsidR="00BB26AF" w:rsidRPr="00BB26AF" w:rsidRDefault="00BB26AF" w:rsidP="00BB26AF">
      <w:pPr>
        <w:spacing w:after="0" w:line="360" w:lineRule="auto"/>
        <w:ind w:firstLine="720"/>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lastRenderedPageBreak/>
        <w:t xml:space="preserve">Комиссия контролирует деятельность финансовых рынков, депозитных организаций, финансовых институтов и профессиональных участников, оказывающих услуги в сферах инвестиций, пенсионного обеспечения и страхования. В качестве регулятора сферы потребительского кредитования, ASIC выдает лицензии и контролирует организации, вовлеченные в эту область: банки, кредитные кооперативы, инвестиционные и брокерские компании. ASIC гарантирует, что каждое учреждение, получившее лицензию, соответствует всем необходимым стандартам. Как регулятор рынка, комиссия оценивает, насколько эффективно финансовые рынки соответствуют установленным обязательствам функционировать справедливо, организованно и открыто. Что касается предоставления финансовых услуг, комиссия дает разрешение на ведение деятельности предоставляющим их организациям. Также ASIC контролирует, чтобы они работали честно и эффективно. </w:t>
      </w:r>
    </w:p>
    <w:p w:rsidR="00BB26AF" w:rsidRPr="00BB26AF" w:rsidRDefault="00BB26AF" w:rsidP="00BB26AF">
      <w:pPr>
        <w:spacing w:after="0" w:line="360" w:lineRule="auto"/>
        <w:ind w:firstLine="720"/>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 xml:space="preserve">Австралийская комиссия по ценным бумагам и инвестициям имеет три приоритетных направления в работе. Данными приоритетами являются уверенные и информированные </w:t>
      </w:r>
      <w:proofErr w:type="gramStart"/>
      <w:r w:rsidRPr="00BB26AF">
        <w:rPr>
          <w:rFonts w:ascii="Times New Roman" w:eastAsia="Times New Roman" w:hAnsi="Times New Roman" w:cs="Times New Roman"/>
          <w:sz w:val="28"/>
          <w:szCs w:val="28"/>
        </w:rPr>
        <w:t>инвесторы</w:t>
      </w:r>
      <w:proofErr w:type="gramEnd"/>
      <w:r w:rsidRPr="00BB26AF">
        <w:rPr>
          <w:rFonts w:ascii="Times New Roman" w:eastAsia="Times New Roman" w:hAnsi="Times New Roman" w:cs="Times New Roman"/>
          <w:sz w:val="28"/>
          <w:szCs w:val="28"/>
        </w:rPr>
        <w:t xml:space="preserve"> и потребители финансовых услуг, справедливое и эффективное функционирование финансовых рынков, </w:t>
      </w:r>
      <w:bookmarkStart w:id="1" w:name="OLE_LINK2"/>
      <w:bookmarkStart w:id="2" w:name="OLE_LINK1"/>
      <w:r w:rsidRPr="00BB26AF">
        <w:rPr>
          <w:rFonts w:ascii="Times New Roman" w:eastAsia="Times New Roman" w:hAnsi="Times New Roman" w:cs="Times New Roman"/>
          <w:sz w:val="28"/>
          <w:szCs w:val="28"/>
        </w:rPr>
        <w:t>эффективная регистрация и лицензирование</w:t>
      </w:r>
      <w:bookmarkEnd w:id="1"/>
      <w:bookmarkEnd w:id="2"/>
      <w:r w:rsidRPr="00BB26AF">
        <w:rPr>
          <w:rFonts w:ascii="Times New Roman" w:eastAsia="Times New Roman" w:hAnsi="Times New Roman" w:cs="Times New Roman"/>
          <w:sz w:val="28"/>
          <w:szCs w:val="28"/>
        </w:rPr>
        <w:t xml:space="preserve">. Рассмотрим подробнее каждую из этих целей. </w:t>
      </w:r>
    </w:p>
    <w:p w:rsidR="00BB26AF" w:rsidRPr="00BB26AF" w:rsidRDefault="00BB26AF" w:rsidP="00BB26AF">
      <w:pPr>
        <w:spacing w:after="0" w:line="360" w:lineRule="auto"/>
        <w:ind w:firstLine="720"/>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 xml:space="preserve">Для обеспечения инвесторов и потребителей достоверной финансовой информацией </w:t>
      </w:r>
      <w:r w:rsidRPr="00BB26AF">
        <w:rPr>
          <w:rFonts w:ascii="Times New Roman" w:eastAsia="Times New Roman" w:hAnsi="Times New Roman" w:cs="Times New Roman"/>
          <w:sz w:val="28"/>
          <w:szCs w:val="28"/>
          <w:lang w:val="en-US"/>
        </w:rPr>
        <w:t>ASIC</w:t>
      </w:r>
      <w:r w:rsidRPr="00BB26AF">
        <w:rPr>
          <w:rFonts w:ascii="Times New Roman" w:eastAsia="Times New Roman" w:hAnsi="Times New Roman" w:cs="Times New Roman"/>
          <w:sz w:val="28"/>
          <w:szCs w:val="28"/>
        </w:rPr>
        <w:t xml:space="preserve"> создает специальные Интернет-ресурсы об услугах и работе финансовых посредников, пенсионных фондов и других контролируемых ею учреждений. </w:t>
      </w:r>
      <w:proofErr w:type="gramStart"/>
      <w:r w:rsidRPr="00BB26AF">
        <w:rPr>
          <w:rFonts w:ascii="Times New Roman" w:eastAsia="Times New Roman" w:hAnsi="Times New Roman" w:cs="Times New Roman"/>
          <w:sz w:val="28"/>
          <w:szCs w:val="28"/>
          <w:lang w:val="en-US"/>
        </w:rPr>
        <w:t>ASIC</w:t>
      </w:r>
      <w:r w:rsidRPr="00BB26AF">
        <w:rPr>
          <w:rFonts w:ascii="Times New Roman" w:eastAsia="Times New Roman" w:hAnsi="Times New Roman" w:cs="Times New Roman"/>
          <w:sz w:val="28"/>
          <w:szCs w:val="28"/>
        </w:rPr>
        <w:t xml:space="preserve"> вместе с Советом по финансовой грамотности разрабатывают стратегии для улучшения образования людей в данной сфере.</w:t>
      </w:r>
      <w:proofErr w:type="gramEnd"/>
      <w:r w:rsidRPr="00BB26AF">
        <w:rPr>
          <w:rFonts w:ascii="Times New Roman" w:eastAsia="Times New Roman" w:hAnsi="Times New Roman" w:cs="Times New Roman"/>
          <w:sz w:val="28"/>
          <w:szCs w:val="28"/>
        </w:rPr>
        <w:t xml:space="preserve"> Одним из пунктов стратегии являются специальные кредитные программы. </w:t>
      </w:r>
    </w:p>
    <w:p w:rsidR="00BB26AF" w:rsidRPr="00BB26AF" w:rsidRDefault="00BB26AF" w:rsidP="00BB26AF">
      <w:pPr>
        <w:spacing w:after="0" w:line="360" w:lineRule="auto"/>
        <w:ind w:firstLine="720"/>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 xml:space="preserve">Помимо этого, комиссия проверяет качество раскрытия информации по производным финансовым инструментам и другим сложным продуктам, следит за выполнением реформ в сфере потребительского кредитования и </w:t>
      </w:r>
      <w:r w:rsidRPr="00BB26AF">
        <w:rPr>
          <w:rFonts w:ascii="Times New Roman" w:eastAsia="Times New Roman" w:hAnsi="Times New Roman" w:cs="Times New Roman"/>
          <w:sz w:val="28"/>
          <w:szCs w:val="28"/>
        </w:rPr>
        <w:lastRenderedPageBreak/>
        <w:t>обеспечивает соблюдение законов FOFA (</w:t>
      </w:r>
      <w:proofErr w:type="spellStart"/>
      <w:r w:rsidRPr="00BB26AF">
        <w:rPr>
          <w:rFonts w:ascii="Times New Roman" w:eastAsia="Times New Roman" w:hAnsi="Times New Roman" w:cs="Times New Roman"/>
          <w:sz w:val="28"/>
          <w:szCs w:val="28"/>
        </w:rPr>
        <w:t>Future</w:t>
      </w:r>
      <w:proofErr w:type="spellEnd"/>
      <w:r w:rsidRPr="00BB26AF">
        <w:rPr>
          <w:rFonts w:ascii="Times New Roman" w:eastAsia="Times New Roman" w:hAnsi="Times New Roman" w:cs="Times New Roman"/>
          <w:sz w:val="28"/>
          <w:szCs w:val="28"/>
        </w:rPr>
        <w:t xml:space="preserve"> </w:t>
      </w:r>
      <w:proofErr w:type="spellStart"/>
      <w:r w:rsidRPr="00BB26AF">
        <w:rPr>
          <w:rFonts w:ascii="Times New Roman" w:eastAsia="Times New Roman" w:hAnsi="Times New Roman" w:cs="Times New Roman"/>
          <w:sz w:val="28"/>
          <w:szCs w:val="28"/>
        </w:rPr>
        <w:t>of</w:t>
      </w:r>
      <w:proofErr w:type="spellEnd"/>
      <w:r w:rsidRPr="00BB26AF">
        <w:rPr>
          <w:rFonts w:ascii="Times New Roman" w:eastAsia="Times New Roman" w:hAnsi="Times New Roman" w:cs="Times New Roman"/>
          <w:sz w:val="28"/>
          <w:szCs w:val="28"/>
        </w:rPr>
        <w:t xml:space="preserve"> </w:t>
      </w:r>
      <w:proofErr w:type="spellStart"/>
      <w:r w:rsidRPr="00BB26AF">
        <w:rPr>
          <w:rFonts w:ascii="Times New Roman" w:eastAsia="Times New Roman" w:hAnsi="Times New Roman" w:cs="Times New Roman"/>
          <w:sz w:val="28"/>
          <w:szCs w:val="28"/>
        </w:rPr>
        <w:t>Financial</w:t>
      </w:r>
      <w:proofErr w:type="spellEnd"/>
      <w:r w:rsidRPr="00BB26AF">
        <w:rPr>
          <w:rFonts w:ascii="Times New Roman" w:eastAsia="Times New Roman" w:hAnsi="Times New Roman" w:cs="Times New Roman"/>
          <w:sz w:val="28"/>
          <w:szCs w:val="28"/>
        </w:rPr>
        <w:t xml:space="preserve"> </w:t>
      </w:r>
      <w:proofErr w:type="spellStart"/>
      <w:r w:rsidRPr="00BB26AF">
        <w:rPr>
          <w:rFonts w:ascii="Times New Roman" w:eastAsia="Times New Roman" w:hAnsi="Times New Roman" w:cs="Times New Roman"/>
          <w:sz w:val="28"/>
          <w:szCs w:val="28"/>
        </w:rPr>
        <w:t>Advice</w:t>
      </w:r>
      <w:proofErr w:type="spellEnd"/>
      <w:r w:rsidRPr="00BB26AF">
        <w:rPr>
          <w:rFonts w:ascii="Times New Roman" w:eastAsia="Times New Roman" w:hAnsi="Times New Roman" w:cs="Times New Roman"/>
          <w:sz w:val="28"/>
          <w:szCs w:val="28"/>
        </w:rPr>
        <w:t xml:space="preserve">), направленных на повышение доверия инвесторов в Австралии. ASIC контролирует, чтобы кредитные организации, посредники, финансовые советники, инвестиционные компании, банки, </w:t>
      </w:r>
      <w:proofErr w:type="gramStart"/>
      <w:r w:rsidRPr="00BB26AF">
        <w:rPr>
          <w:rFonts w:ascii="Times New Roman" w:eastAsia="Times New Roman" w:hAnsi="Times New Roman" w:cs="Times New Roman"/>
          <w:sz w:val="28"/>
          <w:szCs w:val="28"/>
        </w:rPr>
        <w:t>хедж-фонды</w:t>
      </w:r>
      <w:proofErr w:type="gramEnd"/>
      <w:r w:rsidRPr="00BB26AF">
        <w:rPr>
          <w:rFonts w:ascii="Times New Roman" w:eastAsia="Times New Roman" w:hAnsi="Times New Roman" w:cs="Times New Roman"/>
          <w:sz w:val="28"/>
          <w:szCs w:val="28"/>
        </w:rPr>
        <w:t>, рейтинговые агентства, пенсионные фонды, кастодианы соблюдали данные законы.</w:t>
      </w:r>
    </w:p>
    <w:p w:rsidR="00BB26AF" w:rsidRPr="00BB26AF" w:rsidRDefault="00BB26AF" w:rsidP="00BB26AF">
      <w:pPr>
        <w:spacing w:after="0" w:line="360" w:lineRule="auto"/>
        <w:ind w:firstLine="720"/>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Для контроля вопроса обеспечения инвесторов и потребителей всей необходимой информацией в 2011 и 2012 годах комиссией было проведено 67 встреч с финансовыми советниками, 34 встречи с представителями инвестиционных банков, 61 встреча с депозитными организациями, страховыми компаниями и пенсионными фондами</w:t>
      </w:r>
      <w:r w:rsidRPr="00BB26AF">
        <w:rPr>
          <w:rFonts w:ascii="Times New Roman" w:eastAsia="Times New Roman" w:hAnsi="Times New Roman" w:cs="Times New Roman"/>
          <w:sz w:val="28"/>
          <w:szCs w:val="28"/>
          <w:vertAlign w:val="superscript"/>
        </w:rPr>
        <w:footnoteReference w:id="9"/>
      </w:r>
      <w:r w:rsidRPr="00BB26AF">
        <w:rPr>
          <w:rFonts w:ascii="Times New Roman" w:eastAsia="Times New Roman" w:hAnsi="Times New Roman" w:cs="Times New Roman"/>
          <w:sz w:val="28"/>
          <w:szCs w:val="28"/>
        </w:rPr>
        <w:t xml:space="preserve">. </w:t>
      </w:r>
    </w:p>
    <w:p w:rsidR="00BB26AF" w:rsidRPr="00BB26AF" w:rsidRDefault="00BB26AF" w:rsidP="00BB26AF">
      <w:pPr>
        <w:spacing w:after="0" w:line="360" w:lineRule="auto"/>
        <w:ind w:firstLine="720"/>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 xml:space="preserve">Вторым приоритетом является справедливое и эффективное функционирование финансовых рынков. </w:t>
      </w:r>
      <w:proofErr w:type="gramStart"/>
      <w:r w:rsidRPr="00BB26AF">
        <w:rPr>
          <w:rFonts w:ascii="Times New Roman" w:eastAsia="Times New Roman" w:hAnsi="Times New Roman" w:cs="Times New Roman"/>
          <w:sz w:val="28"/>
          <w:szCs w:val="28"/>
          <w:lang w:val="en-US"/>
        </w:rPr>
        <w:t>ASIC</w:t>
      </w:r>
      <w:r w:rsidRPr="00BB26AF">
        <w:rPr>
          <w:rFonts w:ascii="Times New Roman" w:eastAsia="Times New Roman" w:hAnsi="Times New Roman" w:cs="Times New Roman"/>
          <w:sz w:val="28"/>
          <w:szCs w:val="28"/>
        </w:rPr>
        <w:t xml:space="preserve"> обеспечивает надлежащее раскрытие информации для инвесторов; контролирует расчетные и клиринговые операции, оценивая участников рынка на соответствие предписанным законом обязательствам; проверяет качество финансовых отчетов и гарантирует, что деятельность аудиторов соответствует всем требуемым стандартам.</w:t>
      </w:r>
      <w:proofErr w:type="gramEnd"/>
      <w:r w:rsidRPr="00BB26AF">
        <w:rPr>
          <w:rFonts w:ascii="Times New Roman" w:eastAsia="Times New Roman" w:hAnsi="Times New Roman" w:cs="Times New Roman"/>
          <w:sz w:val="28"/>
          <w:szCs w:val="28"/>
        </w:rPr>
        <w:t xml:space="preserve"> </w:t>
      </w:r>
    </w:p>
    <w:p w:rsidR="00BB26AF" w:rsidRPr="00BB26AF" w:rsidRDefault="00BB26AF" w:rsidP="00BB26AF">
      <w:pPr>
        <w:spacing w:after="0" w:line="360" w:lineRule="auto"/>
        <w:ind w:firstLine="720"/>
        <w:jc w:val="both"/>
        <w:rPr>
          <w:rFonts w:ascii="Times New Roman" w:eastAsia="Times New Roman" w:hAnsi="Times New Roman" w:cs="Times New Roman"/>
          <w:sz w:val="28"/>
          <w:szCs w:val="28"/>
        </w:rPr>
      </w:pPr>
      <w:proofErr w:type="gramStart"/>
      <w:r w:rsidRPr="00BB26AF">
        <w:rPr>
          <w:rFonts w:ascii="Times New Roman" w:eastAsia="Times New Roman" w:hAnsi="Times New Roman" w:cs="Times New Roman"/>
          <w:sz w:val="28"/>
          <w:szCs w:val="28"/>
          <w:lang w:val="en-US"/>
        </w:rPr>
        <w:t>ASIC</w:t>
      </w:r>
      <w:r w:rsidRPr="00BB26AF">
        <w:rPr>
          <w:rFonts w:ascii="Times New Roman" w:eastAsia="Times New Roman" w:hAnsi="Times New Roman" w:cs="Times New Roman"/>
          <w:sz w:val="28"/>
          <w:szCs w:val="28"/>
        </w:rPr>
        <w:t xml:space="preserve"> также следит за рынками акций и производных финансовых инструментов для выявления случаев, которые нарушают целостность рынка.</w:t>
      </w:r>
      <w:proofErr w:type="gramEnd"/>
      <w:r w:rsidRPr="00BB26AF">
        <w:rPr>
          <w:rFonts w:ascii="Times New Roman" w:eastAsia="Times New Roman" w:hAnsi="Times New Roman" w:cs="Times New Roman"/>
          <w:sz w:val="28"/>
          <w:szCs w:val="28"/>
        </w:rPr>
        <w:t xml:space="preserve"> К ним относятся манипулирование рынком, использование инсайдерской информации, нарушение обязательств о раскрытии информации, аномальная алгоритмическая торговля. При подтверждении нарушений, </w:t>
      </w:r>
      <w:r w:rsidRPr="00BB26AF">
        <w:rPr>
          <w:rFonts w:ascii="Times New Roman" w:eastAsia="Times New Roman" w:hAnsi="Times New Roman" w:cs="Times New Roman"/>
          <w:sz w:val="28"/>
          <w:szCs w:val="28"/>
          <w:lang w:val="en-US"/>
        </w:rPr>
        <w:t>ASIC</w:t>
      </w:r>
      <w:r w:rsidRPr="00BB26AF">
        <w:rPr>
          <w:rFonts w:ascii="Times New Roman" w:eastAsia="Times New Roman" w:hAnsi="Times New Roman" w:cs="Times New Roman"/>
          <w:sz w:val="28"/>
          <w:szCs w:val="28"/>
        </w:rPr>
        <w:t xml:space="preserve"> принимает меры принудительного характера для осуждения в уголовном порядке. </w:t>
      </w:r>
    </w:p>
    <w:p w:rsidR="00BB26AF" w:rsidRPr="00BB26AF" w:rsidRDefault="00BB26AF" w:rsidP="00BB26AF">
      <w:pPr>
        <w:spacing w:after="0" w:line="360" w:lineRule="auto"/>
        <w:ind w:firstLine="720"/>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 xml:space="preserve">Особое внимание уделяется неплатежеспособным компаниям. Комиссия устанавливает правила их ликвидации и следит за соблюдением этих стандартов. Также под управлением </w:t>
      </w:r>
      <w:r w:rsidRPr="00BB26AF">
        <w:rPr>
          <w:rFonts w:ascii="Times New Roman" w:eastAsia="Times New Roman" w:hAnsi="Times New Roman" w:cs="Times New Roman"/>
          <w:sz w:val="28"/>
          <w:szCs w:val="28"/>
          <w:lang w:val="en-US"/>
        </w:rPr>
        <w:t>ASIC</w:t>
      </w:r>
      <w:r w:rsidRPr="00BB26AF">
        <w:rPr>
          <w:rFonts w:ascii="Times New Roman" w:eastAsia="Times New Roman" w:hAnsi="Times New Roman" w:cs="Times New Roman"/>
          <w:sz w:val="28"/>
          <w:szCs w:val="28"/>
        </w:rPr>
        <w:t xml:space="preserve"> создан специальный фонд, занимающийся компаниями с нехваткой или отсутствием активов (AA </w:t>
      </w:r>
      <w:proofErr w:type="spellStart"/>
      <w:r w:rsidRPr="00BB26AF">
        <w:rPr>
          <w:rFonts w:ascii="Times New Roman" w:eastAsia="Times New Roman" w:hAnsi="Times New Roman" w:cs="Times New Roman"/>
          <w:sz w:val="28"/>
          <w:szCs w:val="28"/>
        </w:rPr>
        <w:t>Fund</w:t>
      </w:r>
      <w:proofErr w:type="spellEnd"/>
      <w:r w:rsidRPr="00BB26AF">
        <w:rPr>
          <w:rFonts w:ascii="Times New Roman" w:eastAsia="Times New Roman" w:hAnsi="Times New Roman" w:cs="Times New Roman"/>
          <w:sz w:val="28"/>
          <w:szCs w:val="28"/>
        </w:rPr>
        <w:t xml:space="preserve">). Он финансирует предварительные расследования ликвидаторов, а также </w:t>
      </w:r>
      <w:r w:rsidRPr="00BB26AF">
        <w:rPr>
          <w:rFonts w:ascii="Times New Roman" w:eastAsia="Times New Roman" w:hAnsi="Times New Roman" w:cs="Times New Roman"/>
          <w:sz w:val="28"/>
          <w:szCs w:val="28"/>
        </w:rPr>
        <w:lastRenderedPageBreak/>
        <w:t>следит за отсутствием мошеннических действий. После получения результатов этих исследований фонд помогает принять решение, стоит ли распродавать имущество обанкротившейся компании или нет.</w:t>
      </w:r>
    </w:p>
    <w:p w:rsidR="00BB26AF" w:rsidRPr="00BB26AF" w:rsidRDefault="00BB26AF" w:rsidP="00BB26AF">
      <w:pPr>
        <w:spacing w:after="0" w:line="360" w:lineRule="auto"/>
        <w:ind w:firstLine="720"/>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 xml:space="preserve">В рамках третьего приоритетного направления работы комиссии – обеспечения эффективной регистрации и лицензирования – общественности был предоставлен открытый (более узкий в некоторых случаях) доступ к информации о зарегистрированных участниках рынка и был организован контактный центр для регулируемых организаций, потребителей и других лиц. Данный центр оказывает различные консультации по вопросам лицензирования и регистрации. </w:t>
      </w:r>
    </w:p>
    <w:p w:rsidR="00BB26AF" w:rsidRPr="00BB26AF" w:rsidRDefault="00BB26AF" w:rsidP="00BB26AF">
      <w:pPr>
        <w:spacing w:after="0" w:line="360" w:lineRule="auto"/>
        <w:ind w:firstLine="720"/>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 xml:space="preserve">В целом, подход </w:t>
      </w:r>
      <w:r w:rsidRPr="00BB26AF">
        <w:rPr>
          <w:rFonts w:ascii="Times New Roman" w:eastAsia="Times New Roman" w:hAnsi="Times New Roman" w:cs="Times New Roman"/>
          <w:sz w:val="28"/>
          <w:szCs w:val="28"/>
          <w:lang w:val="en-US"/>
        </w:rPr>
        <w:t>ASIC</w:t>
      </w:r>
      <w:r w:rsidRPr="00BB26AF">
        <w:rPr>
          <w:rFonts w:ascii="Times New Roman" w:eastAsia="Times New Roman" w:hAnsi="Times New Roman" w:cs="Times New Roman"/>
          <w:sz w:val="28"/>
          <w:szCs w:val="28"/>
        </w:rPr>
        <w:t xml:space="preserve"> к регулированию основан на оценке рисков. Комиссия стремится выделить основные проблемы, которые влияют на решения потребителей, угрожают стабильности финансовой системы и международной репутации Австралии, как безопасной и хорошо регулируемой стране для ведения бизнеса. Помимо анализа существующих рисков, целью </w:t>
      </w:r>
      <w:r w:rsidRPr="00BB26AF">
        <w:rPr>
          <w:rFonts w:ascii="Times New Roman" w:eastAsia="Times New Roman" w:hAnsi="Times New Roman" w:cs="Times New Roman"/>
          <w:sz w:val="28"/>
          <w:szCs w:val="28"/>
          <w:lang w:val="en-US"/>
        </w:rPr>
        <w:t>ASIC</w:t>
      </w:r>
      <w:r w:rsidRPr="00BB26AF">
        <w:rPr>
          <w:rFonts w:ascii="Times New Roman" w:eastAsia="Times New Roman" w:hAnsi="Times New Roman" w:cs="Times New Roman"/>
          <w:sz w:val="28"/>
          <w:szCs w:val="28"/>
        </w:rPr>
        <w:t xml:space="preserve"> является прогноз и предотвращение новых угроз. В июле 2006 года </w:t>
      </w:r>
      <w:r w:rsidRPr="00BB26AF">
        <w:rPr>
          <w:rFonts w:ascii="Times New Roman" w:eastAsia="Times New Roman" w:hAnsi="Times New Roman" w:cs="Times New Roman"/>
          <w:sz w:val="28"/>
          <w:szCs w:val="28"/>
          <w:lang w:val="en-US"/>
        </w:rPr>
        <w:t>ASIC</w:t>
      </w:r>
      <w:r w:rsidRPr="00BB26AF">
        <w:rPr>
          <w:rFonts w:ascii="Times New Roman" w:eastAsia="Times New Roman" w:hAnsi="Times New Roman" w:cs="Times New Roman"/>
          <w:sz w:val="28"/>
          <w:szCs w:val="28"/>
        </w:rPr>
        <w:t xml:space="preserve"> создала экспертную группу делового консультирования, чтобы содействовать более эффективному диалогу с </w:t>
      </w:r>
      <w:proofErr w:type="gramStart"/>
      <w:r w:rsidRPr="00BB26AF">
        <w:rPr>
          <w:rFonts w:ascii="Times New Roman" w:eastAsia="Times New Roman" w:hAnsi="Times New Roman" w:cs="Times New Roman"/>
          <w:sz w:val="28"/>
          <w:szCs w:val="28"/>
        </w:rPr>
        <w:t>бизнес-сообществом</w:t>
      </w:r>
      <w:proofErr w:type="gramEnd"/>
      <w:r w:rsidRPr="00BB26AF">
        <w:rPr>
          <w:rFonts w:ascii="Times New Roman" w:eastAsia="Times New Roman" w:hAnsi="Times New Roman" w:cs="Times New Roman"/>
          <w:sz w:val="28"/>
          <w:szCs w:val="28"/>
        </w:rPr>
        <w:t xml:space="preserve"> по текущим и потенциально возможным рыночным рискам</w:t>
      </w:r>
      <w:r w:rsidRPr="00BB26AF">
        <w:rPr>
          <w:rFonts w:ascii="Times New Roman" w:eastAsia="Times New Roman" w:hAnsi="Times New Roman" w:cs="Times New Roman"/>
          <w:sz w:val="28"/>
          <w:szCs w:val="28"/>
          <w:vertAlign w:val="superscript"/>
        </w:rPr>
        <w:footnoteReference w:id="10"/>
      </w:r>
      <w:r w:rsidRPr="00BB26AF">
        <w:rPr>
          <w:rFonts w:ascii="Times New Roman" w:eastAsia="Times New Roman" w:hAnsi="Times New Roman" w:cs="Times New Roman"/>
          <w:sz w:val="28"/>
          <w:szCs w:val="28"/>
        </w:rPr>
        <w:t>. В 1999 году была учреждена группа по консультированию потребителей (CAP). Её роль заключается в оказании консультативной помощи по актуальным вопросам, связанным с потребителями, а также в поддержке обратной связи с потребителями для оценки результатов деятельности комиссии</w:t>
      </w:r>
      <w:r w:rsidRPr="00BB26AF">
        <w:rPr>
          <w:rFonts w:ascii="Times New Roman" w:eastAsia="Times New Roman" w:hAnsi="Times New Roman" w:cs="Times New Roman"/>
          <w:sz w:val="28"/>
          <w:szCs w:val="28"/>
          <w:vertAlign w:val="superscript"/>
        </w:rPr>
        <w:footnoteReference w:id="11"/>
      </w:r>
      <w:r w:rsidRPr="00BB26AF">
        <w:rPr>
          <w:rFonts w:ascii="Times New Roman" w:eastAsia="Times New Roman" w:hAnsi="Times New Roman" w:cs="Times New Roman"/>
          <w:sz w:val="28"/>
          <w:szCs w:val="28"/>
        </w:rPr>
        <w:t xml:space="preserve">. </w:t>
      </w:r>
    </w:p>
    <w:p w:rsidR="00BB26AF" w:rsidRPr="00BB26AF" w:rsidRDefault="00BB26AF" w:rsidP="00BB26AF">
      <w:pPr>
        <w:spacing w:after="0" w:line="360" w:lineRule="auto"/>
        <w:ind w:firstLine="720"/>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 xml:space="preserve">Таким образом, Австралийская комиссия по ценным бумагам и инвестициям регистрирует и лицензирует участников рынка, предоставляет </w:t>
      </w:r>
      <w:r w:rsidRPr="00BB26AF">
        <w:rPr>
          <w:rFonts w:ascii="Times New Roman" w:eastAsia="Times New Roman" w:hAnsi="Times New Roman" w:cs="Times New Roman"/>
          <w:sz w:val="28"/>
          <w:szCs w:val="28"/>
        </w:rPr>
        <w:lastRenderedPageBreak/>
        <w:t xml:space="preserve">общедоступные базы данных с информацией о компаниях и финансовых услугах, устанавливает стандарты для обеспечения целостности финансовых рынков, следит за раскрытием информации компаниями и приостанавливает их деятельность в случае недостатка необходимой документации. Вместе с судами и другими специализирующимися органами </w:t>
      </w:r>
      <w:r w:rsidRPr="00BB26AF">
        <w:rPr>
          <w:rFonts w:ascii="Times New Roman" w:eastAsia="Times New Roman" w:hAnsi="Times New Roman" w:cs="Times New Roman"/>
          <w:sz w:val="28"/>
          <w:szCs w:val="28"/>
          <w:lang w:val="en-US"/>
        </w:rPr>
        <w:t>ASIC</w:t>
      </w:r>
      <w:r w:rsidRPr="00BB26AF">
        <w:rPr>
          <w:rFonts w:ascii="Times New Roman" w:eastAsia="Times New Roman" w:hAnsi="Times New Roman" w:cs="Times New Roman"/>
          <w:sz w:val="28"/>
          <w:szCs w:val="28"/>
        </w:rPr>
        <w:t xml:space="preserve"> расследует предполагаемые случаи нарушения закона, высылая до этого предварительные уведомления, запрещает конкретным людям заниматься кредитной деятельностью или оказывать финансовые услуги, привлекает к гражданско-правовой ответственности и накладывает санкции в соответствующих случаях, осуществляет уголовное преследование. То есть </w:t>
      </w:r>
      <w:r w:rsidRPr="00BB26AF">
        <w:rPr>
          <w:rFonts w:ascii="Times New Roman" w:eastAsia="Times New Roman" w:hAnsi="Times New Roman" w:cs="Times New Roman"/>
          <w:sz w:val="28"/>
          <w:szCs w:val="28"/>
          <w:lang w:val="en-US"/>
        </w:rPr>
        <w:t>ASIC</w:t>
      </w:r>
      <w:r w:rsidRPr="00BB26AF">
        <w:rPr>
          <w:rFonts w:ascii="Times New Roman" w:eastAsia="Times New Roman" w:hAnsi="Times New Roman" w:cs="Times New Roman"/>
          <w:sz w:val="28"/>
          <w:szCs w:val="28"/>
        </w:rPr>
        <w:t xml:space="preserve"> наделена всеми необходимыми полномочиями для эффективного выполнения своей регулятивной роли. </w:t>
      </w:r>
    </w:p>
    <w:p w:rsidR="00BB26AF" w:rsidRPr="00BB26AF" w:rsidRDefault="00BB26AF" w:rsidP="00BB26AF">
      <w:pPr>
        <w:spacing w:after="0" w:line="360" w:lineRule="auto"/>
        <w:jc w:val="both"/>
        <w:rPr>
          <w:rFonts w:ascii="Times New Roman" w:eastAsia="Times New Roman" w:hAnsi="Times New Roman" w:cs="Times New Roman"/>
          <w:sz w:val="28"/>
          <w:szCs w:val="28"/>
        </w:rPr>
      </w:pPr>
    </w:p>
    <w:p w:rsidR="00BB26AF" w:rsidRPr="00BB26AF" w:rsidRDefault="00BB26AF" w:rsidP="00BB26AF">
      <w:pPr>
        <w:spacing w:after="0" w:line="360" w:lineRule="auto"/>
        <w:jc w:val="both"/>
        <w:rPr>
          <w:rFonts w:ascii="Times New Roman" w:eastAsia="Times New Roman" w:hAnsi="Times New Roman" w:cs="Times New Roman"/>
          <w:b/>
          <w:sz w:val="28"/>
          <w:szCs w:val="28"/>
        </w:rPr>
      </w:pPr>
      <w:r w:rsidRPr="00BB26AF">
        <w:rPr>
          <w:rFonts w:ascii="Times New Roman" w:eastAsia="Times New Roman" w:hAnsi="Times New Roman" w:cs="Times New Roman"/>
          <w:b/>
          <w:sz w:val="28"/>
          <w:szCs w:val="28"/>
        </w:rPr>
        <w:t>2.4. Функции Резервного банка Австралии (</w:t>
      </w:r>
      <w:r w:rsidRPr="00BB26AF">
        <w:rPr>
          <w:rFonts w:ascii="Times New Roman" w:eastAsia="Times New Roman" w:hAnsi="Times New Roman" w:cs="Times New Roman"/>
          <w:b/>
          <w:sz w:val="28"/>
          <w:szCs w:val="28"/>
          <w:lang w:val="en-US"/>
        </w:rPr>
        <w:t>RBA</w:t>
      </w:r>
      <w:r w:rsidRPr="00BB26AF">
        <w:rPr>
          <w:rFonts w:ascii="Times New Roman" w:eastAsia="Times New Roman" w:hAnsi="Times New Roman" w:cs="Times New Roman"/>
          <w:b/>
          <w:sz w:val="28"/>
          <w:szCs w:val="28"/>
        </w:rPr>
        <w:t>)</w:t>
      </w:r>
    </w:p>
    <w:p w:rsidR="00BB26AF" w:rsidRPr="00BB26AF" w:rsidRDefault="00BB26AF" w:rsidP="00BB26AF">
      <w:pPr>
        <w:spacing w:after="0" w:line="360" w:lineRule="auto"/>
        <w:jc w:val="both"/>
        <w:rPr>
          <w:rFonts w:ascii="Times New Roman" w:eastAsia="Times New Roman" w:hAnsi="Times New Roman" w:cs="Times New Roman"/>
          <w:sz w:val="28"/>
          <w:szCs w:val="28"/>
        </w:rPr>
      </w:pPr>
    </w:p>
    <w:p w:rsidR="00BB26AF" w:rsidRPr="00BB26AF" w:rsidRDefault="00BB26AF" w:rsidP="00BB26AF">
      <w:pPr>
        <w:spacing w:after="0" w:line="360" w:lineRule="auto"/>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ab/>
        <w:t xml:space="preserve">Резервный банк Австралии является центральным банком страны. Он проводит эмиссию денег, управляет золотовалютными резервами и осуществляет денежно-кредитную политику. Деятельность </w:t>
      </w:r>
      <w:r w:rsidRPr="00BB26AF">
        <w:rPr>
          <w:rFonts w:ascii="Times New Roman" w:eastAsia="Times New Roman" w:hAnsi="Times New Roman" w:cs="Times New Roman"/>
          <w:sz w:val="28"/>
          <w:szCs w:val="28"/>
          <w:lang w:val="en-US"/>
        </w:rPr>
        <w:t>RBA</w:t>
      </w:r>
      <w:r w:rsidRPr="00BB26AF">
        <w:rPr>
          <w:rFonts w:ascii="Times New Roman" w:eastAsia="Times New Roman" w:hAnsi="Times New Roman" w:cs="Times New Roman"/>
          <w:sz w:val="28"/>
          <w:szCs w:val="28"/>
        </w:rPr>
        <w:t xml:space="preserve"> направлена на поддержание стабильности финансовой системы государства. Помимо своих основных функций, Резервный банк предоставляет некоторые банковские и регистрационные услуги ряду австралийских государственных учреждений и отдельным зарубежным Центробанкам и финансовым институтам. </w:t>
      </w:r>
    </w:p>
    <w:p w:rsidR="00BB26AF" w:rsidRPr="00BB26AF" w:rsidRDefault="00BB26AF" w:rsidP="00BB26AF">
      <w:pPr>
        <w:spacing w:after="0" w:line="360" w:lineRule="auto"/>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ab/>
        <w:t xml:space="preserve">Роль и функции </w:t>
      </w:r>
      <w:r w:rsidRPr="00BB26AF">
        <w:rPr>
          <w:rFonts w:ascii="Times New Roman" w:eastAsia="Times New Roman" w:hAnsi="Times New Roman" w:cs="Times New Roman"/>
          <w:sz w:val="28"/>
          <w:szCs w:val="28"/>
          <w:lang w:val="en-US"/>
        </w:rPr>
        <w:t>RBA</w:t>
      </w:r>
      <w:r w:rsidRPr="00BB26AF">
        <w:rPr>
          <w:rFonts w:ascii="Times New Roman" w:eastAsia="Times New Roman" w:hAnsi="Times New Roman" w:cs="Times New Roman"/>
          <w:sz w:val="28"/>
          <w:szCs w:val="28"/>
        </w:rPr>
        <w:t xml:space="preserve"> закреплены в нескольких законодательных актах, основным из которых является </w:t>
      </w:r>
      <w:proofErr w:type="spellStart"/>
      <w:r w:rsidRPr="00BB26AF">
        <w:rPr>
          <w:rFonts w:ascii="Times New Roman" w:eastAsia="Times New Roman" w:hAnsi="Times New Roman" w:cs="Times New Roman"/>
          <w:i/>
          <w:sz w:val="28"/>
          <w:szCs w:val="28"/>
        </w:rPr>
        <w:t>Reserve</w:t>
      </w:r>
      <w:proofErr w:type="spellEnd"/>
      <w:r w:rsidRPr="00BB26AF">
        <w:rPr>
          <w:rFonts w:ascii="Times New Roman" w:eastAsia="Times New Roman" w:hAnsi="Times New Roman" w:cs="Times New Roman"/>
          <w:i/>
          <w:sz w:val="28"/>
          <w:szCs w:val="28"/>
        </w:rPr>
        <w:t xml:space="preserve"> </w:t>
      </w:r>
      <w:proofErr w:type="spellStart"/>
      <w:r w:rsidRPr="00BB26AF">
        <w:rPr>
          <w:rFonts w:ascii="Times New Roman" w:eastAsia="Times New Roman" w:hAnsi="Times New Roman" w:cs="Times New Roman"/>
          <w:i/>
          <w:sz w:val="28"/>
          <w:szCs w:val="28"/>
        </w:rPr>
        <w:t>Bank</w:t>
      </w:r>
      <w:proofErr w:type="spellEnd"/>
      <w:r w:rsidRPr="00BB26AF">
        <w:rPr>
          <w:rFonts w:ascii="Times New Roman" w:eastAsia="Times New Roman" w:hAnsi="Times New Roman" w:cs="Times New Roman"/>
          <w:i/>
          <w:sz w:val="28"/>
          <w:szCs w:val="28"/>
        </w:rPr>
        <w:t xml:space="preserve"> </w:t>
      </w:r>
      <w:proofErr w:type="spellStart"/>
      <w:r w:rsidRPr="00BB26AF">
        <w:rPr>
          <w:rFonts w:ascii="Times New Roman" w:eastAsia="Times New Roman" w:hAnsi="Times New Roman" w:cs="Times New Roman"/>
          <w:i/>
          <w:sz w:val="28"/>
          <w:szCs w:val="28"/>
        </w:rPr>
        <w:t>Act</w:t>
      </w:r>
      <w:proofErr w:type="spellEnd"/>
      <w:r w:rsidRPr="00BB26AF">
        <w:rPr>
          <w:rFonts w:ascii="Times New Roman" w:eastAsia="Times New Roman" w:hAnsi="Times New Roman" w:cs="Times New Roman"/>
          <w:i/>
          <w:sz w:val="28"/>
          <w:szCs w:val="28"/>
        </w:rPr>
        <w:t xml:space="preserve"> 1959</w:t>
      </w:r>
      <w:r w:rsidRPr="00BB26AF">
        <w:rPr>
          <w:rFonts w:ascii="Times New Roman" w:eastAsia="Times New Roman" w:hAnsi="Times New Roman" w:cs="Times New Roman"/>
          <w:i/>
          <w:sz w:val="28"/>
          <w:szCs w:val="28"/>
          <w:vertAlign w:val="superscript"/>
        </w:rPr>
        <w:footnoteReference w:id="12"/>
      </w:r>
      <w:r w:rsidRPr="00BB26AF">
        <w:rPr>
          <w:rFonts w:ascii="Times New Roman" w:eastAsia="Times New Roman" w:hAnsi="Times New Roman" w:cs="Times New Roman"/>
          <w:sz w:val="28"/>
          <w:szCs w:val="28"/>
        </w:rPr>
        <w:t xml:space="preserve">. В соответствии с этим законом, банк разделен на два совета: совет резервного банка и совет платежной системы. В обязанности первого входит обеспечение стабильности австралийского доллара, поддержание полной занятости, а </w:t>
      </w:r>
      <w:r w:rsidRPr="00BB26AF">
        <w:rPr>
          <w:rFonts w:ascii="Times New Roman" w:eastAsia="Times New Roman" w:hAnsi="Times New Roman" w:cs="Times New Roman"/>
          <w:sz w:val="28"/>
          <w:szCs w:val="28"/>
        </w:rPr>
        <w:lastRenderedPageBreak/>
        <w:t>также гарантия экономического процветания и благосостояния жителей Австралии. Второй совет контролирует возможные риски финансовой системы, содействует повышению эффективности системы платежей, поощряет развитие конкуренции на рынке платежных услуг.</w:t>
      </w:r>
    </w:p>
    <w:p w:rsidR="00BB26AF" w:rsidRPr="00BB26AF" w:rsidRDefault="00BB26AF" w:rsidP="00BB26AF">
      <w:pPr>
        <w:spacing w:after="0" w:line="360" w:lineRule="auto"/>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ab/>
        <w:t xml:space="preserve">Стабильная финансовая система, когда финансовые институты и рыночная инфраструктура обеспечивают беспрепятственное движение средств, способствующая росту экономической активности, является основной целью Резервного банка. Обеспечением этих задач </w:t>
      </w:r>
      <w:r w:rsidRPr="00BB26AF">
        <w:rPr>
          <w:rFonts w:ascii="Times New Roman" w:eastAsia="Times New Roman" w:hAnsi="Times New Roman" w:cs="Times New Roman"/>
          <w:sz w:val="28"/>
          <w:szCs w:val="28"/>
          <w:lang w:val="en-US"/>
        </w:rPr>
        <w:t>RBA</w:t>
      </w:r>
      <w:r w:rsidRPr="00BB26AF">
        <w:rPr>
          <w:rFonts w:ascii="Times New Roman" w:eastAsia="Times New Roman" w:hAnsi="Times New Roman" w:cs="Times New Roman"/>
          <w:sz w:val="28"/>
          <w:szCs w:val="28"/>
        </w:rPr>
        <w:t xml:space="preserve"> занимается вместе с соответствующими учреждениями, главным образом, с </w:t>
      </w:r>
      <w:proofErr w:type="gramStart"/>
      <w:r w:rsidRPr="00BB26AF">
        <w:rPr>
          <w:rFonts w:ascii="Times New Roman" w:eastAsia="Times New Roman" w:hAnsi="Times New Roman" w:cs="Times New Roman"/>
          <w:sz w:val="28"/>
          <w:szCs w:val="28"/>
        </w:rPr>
        <w:t>членами</w:t>
      </w:r>
      <w:proofErr w:type="gramEnd"/>
      <w:r w:rsidRPr="00BB26AF">
        <w:rPr>
          <w:rFonts w:ascii="Times New Roman" w:eastAsia="Times New Roman" w:hAnsi="Times New Roman" w:cs="Times New Roman"/>
          <w:sz w:val="28"/>
          <w:szCs w:val="28"/>
        </w:rPr>
        <w:t xml:space="preserve"> ранее упоминавшегося совета финансовых регуляторов. Это координирующий орган, чья роль заключается в содействии эффективности финансового регулирования. В него входят Казначейство, </w:t>
      </w:r>
      <w:r w:rsidRPr="00BB26AF">
        <w:rPr>
          <w:rFonts w:ascii="Times New Roman" w:eastAsia="Times New Roman" w:hAnsi="Times New Roman" w:cs="Times New Roman"/>
          <w:sz w:val="28"/>
          <w:szCs w:val="28"/>
          <w:lang w:val="en-US"/>
        </w:rPr>
        <w:t>ASIC</w:t>
      </w:r>
      <w:r w:rsidRPr="00BB26AF">
        <w:rPr>
          <w:rFonts w:ascii="Times New Roman" w:eastAsia="Times New Roman" w:hAnsi="Times New Roman" w:cs="Times New Roman"/>
          <w:sz w:val="28"/>
          <w:szCs w:val="28"/>
        </w:rPr>
        <w:t xml:space="preserve">, </w:t>
      </w:r>
      <w:r w:rsidRPr="00BB26AF">
        <w:rPr>
          <w:rFonts w:ascii="Times New Roman" w:eastAsia="Times New Roman" w:hAnsi="Times New Roman" w:cs="Times New Roman"/>
          <w:sz w:val="28"/>
          <w:szCs w:val="28"/>
          <w:lang w:val="en-US"/>
        </w:rPr>
        <w:t>APRA</w:t>
      </w:r>
      <w:r w:rsidRPr="00BB26AF">
        <w:rPr>
          <w:rFonts w:ascii="Times New Roman" w:eastAsia="Times New Roman" w:hAnsi="Times New Roman" w:cs="Times New Roman"/>
          <w:sz w:val="28"/>
          <w:szCs w:val="28"/>
        </w:rPr>
        <w:t xml:space="preserve"> и Резервный банк Австралии, губернатор которого возглавляет совет. Члены объединения встречаются ежеквартально и обсуждают вопросы регулирования и возможные угрозы финансовой стабильности. Совет финансовых регуляторов также дает рекомендации Правительству в области регулирования финансовых рынков. </w:t>
      </w:r>
    </w:p>
    <w:p w:rsidR="00BB26AF" w:rsidRPr="00BB26AF" w:rsidRDefault="00BB26AF" w:rsidP="00BB26AF">
      <w:pPr>
        <w:spacing w:after="0" w:line="360" w:lineRule="auto"/>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ab/>
        <w:t xml:space="preserve">В июле 1998 года структура финансового регулирования Австралии сильно изменилась, так как Резервный банк Австралии передал часть своих полномочий по надзору Австралийской администрации регулирования с совещательным правом, а также создал совет платежной системы. Тем не менее, недопущение финансовой нестабильности остается приоритетной задачей банка. </w:t>
      </w:r>
      <w:proofErr w:type="gramStart"/>
      <w:r w:rsidRPr="00BB26AF">
        <w:rPr>
          <w:rFonts w:ascii="Times New Roman" w:eastAsia="Times New Roman" w:hAnsi="Times New Roman" w:cs="Times New Roman"/>
          <w:sz w:val="28"/>
          <w:szCs w:val="28"/>
          <w:lang w:val="en-US"/>
        </w:rPr>
        <w:t>RBA</w:t>
      </w:r>
      <w:r w:rsidRPr="00BB26AF">
        <w:rPr>
          <w:rFonts w:ascii="Times New Roman" w:eastAsia="Times New Roman" w:hAnsi="Times New Roman" w:cs="Times New Roman"/>
          <w:sz w:val="28"/>
          <w:szCs w:val="28"/>
        </w:rPr>
        <w:t xml:space="preserve"> постоянно оценивает ряд совокупных экономических и финансовых показателей, которые помогают оценить устойчивость всей системы и выявить уязвимые области.</w:t>
      </w:r>
      <w:proofErr w:type="gramEnd"/>
      <w:r w:rsidRPr="00BB26AF">
        <w:rPr>
          <w:rFonts w:ascii="Times New Roman" w:eastAsia="Times New Roman" w:hAnsi="Times New Roman" w:cs="Times New Roman"/>
          <w:sz w:val="28"/>
          <w:szCs w:val="28"/>
        </w:rPr>
        <w:t xml:space="preserve"> </w:t>
      </w:r>
    </w:p>
    <w:p w:rsidR="00BB26AF" w:rsidRPr="00BB26AF" w:rsidRDefault="00BB26AF" w:rsidP="00BB26AF">
      <w:pPr>
        <w:spacing w:after="0" w:line="360" w:lineRule="auto"/>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ab/>
        <w:t xml:space="preserve">Поддержание финансовой стабильности не предполагает гарантию платежеспособности финансовых учреждений, однако Резервный банк принимает активное участие вместе с другими органами из совета финансовых регуляторов в </w:t>
      </w:r>
      <w:proofErr w:type="gramStart"/>
      <w:r w:rsidRPr="00BB26AF">
        <w:rPr>
          <w:rFonts w:ascii="Times New Roman" w:eastAsia="Times New Roman" w:hAnsi="Times New Roman" w:cs="Times New Roman"/>
          <w:sz w:val="28"/>
          <w:szCs w:val="28"/>
        </w:rPr>
        <w:t>контроле за</w:t>
      </w:r>
      <w:proofErr w:type="gramEnd"/>
      <w:r w:rsidRPr="00BB26AF">
        <w:rPr>
          <w:rFonts w:ascii="Times New Roman" w:eastAsia="Times New Roman" w:hAnsi="Times New Roman" w:cs="Times New Roman"/>
          <w:sz w:val="28"/>
          <w:szCs w:val="28"/>
        </w:rPr>
        <w:t xml:space="preserve"> такими ситуациями. В частности, </w:t>
      </w:r>
      <w:r w:rsidRPr="00BB26AF">
        <w:rPr>
          <w:rFonts w:ascii="Times New Roman" w:eastAsia="Times New Roman" w:hAnsi="Times New Roman" w:cs="Times New Roman"/>
          <w:sz w:val="28"/>
          <w:szCs w:val="28"/>
          <w:lang w:val="en-US"/>
        </w:rPr>
        <w:t>RBA</w:t>
      </w:r>
      <w:r w:rsidRPr="00BB26AF">
        <w:rPr>
          <w:rFonts w:ascii="Times New Roman" w:eastAsia="Times New Roman" w:hAnsi="Times New Roman" w:cs="Times New Roman"/>
          <w:sz w:val="28"/>
          <w:szCs w:val="28"/>
        </w:rPr>
        <w:t xml:space="preserve"> </w:t>
      </w:r>
      <w:proofErr w:type="gramStart"/>
      <w:r w:rsidRPr="00BB26AF">
        <w:rPr>
          <w:rFonts w:ascii="Times New Roman" w:eastAsia="Times New Roman" w:hAnsi="Times New Roman" w:cs="Times New Roman"/>
          <w:sz w:val="28"/>
          <w:szCs w:val="28"/>
        </w:rPr>
        <w:t>ответственен</w:t>
      </w:r>
      <w:proofErr w:type="gramEnd"/>
      <w:r w:rsidRPr="00BB26AF">
        <w:rPr>
          <w:rFonts w:ascii="Times New Roman" w:eastAsia="Times New Roman" w:hAnsi="Times New Roman" w:cs="Times New Roman"/>
          <w:sz w:val="28"/>
          <w:szCs w:val="28"/>
        </w:rPr>
        <w:t xml:space="preserve"> за оценку масштабов и характера системного воздействия </w:t>
      </w:r>
      <w:r w:rsidRPr="00BB26AF">
        <w:rPr>
          <w:rFonts w:ascii="Times New Roman" w:eastAsia="Times New Roman" w:hAnsi="Times New Roman" w:cs="Times New Roman"/>
          <w:sz w:val="28"/>
          <w:szCs w:val="28"/>
        </w:rPr>
        <w:lastRenderedPageBreak/>
        <w:t xml:space="preserve">любых угроз на финансовые рынки. Банк также следит за функционированием платежных и расчетных систем и обсуждает проблемные моменты в этой сфере с главой Казначейства. </w:t>
      </w:r>
      <w:proofErr w:type="gramStart"/>
      <w:r w:rsidRPr="00BB26AF">
        <w:rPr>
          <w:rFonts w:ascii="Times New Roman" w:eastAsia="Times New Roman" w:hAnsi="Times New Roman" w:cs="Times New Roman"/>
          <w:sz w:val="28"/>
          <w:szCs w:val="28"/>
          <w:lang w:val="en-US"/>
        </w:rPr>
        <w:t>RBA</w:t>
      </w:r>
      <w:r w:rsidRPr="00BB26AF">
        <w:rPr>
          <w:rFonts w:ascii="Times New Roman" w:eastAsia="Times New Roman" w:hAnsi="Times New Roman" w:cs="Times New Roman"/>
          <w:sz w:val="28"/>
          <w:szCs w:val="28"/>
        </w:rPr>
        <w:t xml:space="preserve"> в случае необходимости обязан осуществить действия по поддержке ликвидности.</w:t>
      </w:r>
      <w:proofErr w:type="gramEnd"/>
    </w:p>
    <w:p w:rsidR="00BB26AF" w:rsidRPr="00BB26AF" w:rsidRDefault="00BB26AF" w:rsidP="00BB26AF">
      <w:pPr>
        <w:spacing w:after="0" w:line="360" w:lineRule="auto"/>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ab/>
        <w:t xml:space="preserve">Таким образом, Резервный банк Австралии – крупный международный банк, входящий в </w:t>
      </w:r>
      <w:proofErr w:type="spellStart"/>
      <w:r w:rsidRPr="00BB26AF">
        <w:rPr>
          <w:rFonts w:ascii="Times New Roman" w:eastAsia="Times New Roman" w:hAnsi="Times New Roman" w:cs="Times New Roman"/>
          <w:sz w:val="28"/>
          <w:szCs w:val="28"/>
        </w:rPr>
        <w:t>Базельский</w:t>
      </w:r>
      <w:proofErr w:type="spellEnd"/>
      <w:r w:rsidRPr="00BB26AF">
        <w:rPr>
          <w:rFonts w:ascii="Times New Roman" w:eastAsia="Times New Roman" w:hAnsi="Times New Roman" w:cs="Times New Roman"/>
          <w:sz w:val="28"/>
          <w:szCs w:val="28"/>
        </w:rPr>
        <w:t xml:space="preserve"> комитет по банковскому надзору. Он выявляет возможные проблемы финансовой системы государства и контролирует осуществление мер по их разрешению. Регулятивная деятельность Резервного банка Австралии осуществляется в соответствии с международными стандартами пруденциального регулирования и направлена на обеспечение финансовой стабильности внутри страны. </w:t>
      </w:r>
    </w:p>
    <w:p w:rsidR="00BB26AF" w:rsidRPr="00BB26AF" w:rsidRDefault="00BB26AF" w:rsidP="00BB26AF">
      <w:pPr>
        <w:spacing w:after="0" w:line="360" w:lineRule="auto"/>
        <w:jc w:val="both"/>
        <w:rPr>
          <w:rFonts w:ascii="Times New Roman" w:eastAsia="Times New Roman" w:hAnsi="Times New Roman" w:cs="Times New Roman"/>
          <w:sz w:val="28"/>
          <w:szCs w:val="28"/>
        </w:rPr>
      </w:pPr>
    </w:p>
    <w:p w:rsidR="00BB26AF" w:rsidRPr="00BB26AF" w:rsidRDefault="00BB26AF" w:rsidP="00BB26AF">
      <w:pPr>
        <w:spacing w:after="0" w:line="360" w:lineRule="auto"/>
        <w:jc w:val="both"/>
        <w:rPr>
          <w:rFonts w:ascii="Times New Roman" w:eastAsia="Times New Roman" w:hAnsi="Times New Roman" w:cs="Times New Roman"/>
          <w:b/>
          <w:sz w:val="28"/>
          <w:szCs w:val="28"/>
        </w:rPr>
      </w:pPr>
      <w:r w:rsidRPr="00BB26AF">
        <w:rPr>
          <w:rFonts w:ascii="Times New Roman" w:eastAsia="Times New Roman" w:hAnsi="Times New Roman" w:cs="Times New Roman"/>
          <w:b/>
          <w:sz w:val="28"/>
          <w:szCs w:val="28"/>
        </w:rPr>
        <w:t>2.5. Роль Казначейства в функционировании финансовой системы</w:t>
      </w:r>
    </w:p>
    <w:p w:rsidR="00BB26AF" w:rsidRPr="00BB26AF" w:rsidRDefault="00BB26AF" w:rsidP="00BB26AF">
      <w:pPr>
        <w:spacing w:after="0" w:line="360" w:lineRule="auto"/>
        <w:jc w:val="both"/>
        <w:rPr>
          <w:rFonts w:ascii="Times New Roman" w:eastAsia="Times New Roman" w:hAnsi="Times New Roman" w:cs="Times New Roman"/>
          <w:sz w:val="28"/>
          <w:szCs w:val="28"/>
        </w:rPr>
      </w:pPr>
    </w:p>
    <w:p w:rsidR="00BB26AF" w:rsidRPr="00BB26AF" w:rsidRDefault="00BB26AF" w:rsidP="00BB26AF">
      <w:pPr>
        <w:spacing w:after="0" w:line="360" w:lineRule="auto"/>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ab/>
        <w:t xml:space="preserve">Казначейство Австралии начало свою деятельность как самый маленький из семи созданных государством департаментов в январе 1901 года. В его состав входило пять бухгалтеров, которые занимались вопросами пенсионного обеспечения и социальных выплат, системой налогообложения, а также сбором статистики. На сегодняшний день Казначейство является центральным ведомством, которое анализирует экономическую ситуацию на общегосударственном уровне, оперативно реагирует на любые возникающие проблемы, занимается составлением и реализацией федерального бюджета Австралии. Казначейство вовлечено в широкий круг вопросов от определения приоритетов макроэкономической политики государства до участия в международных соглашениях. Главной задачей Казначейства является улучшение благосостояния жителей Австралии путем своевременных консультаций с Правительством, основанных на тщательном анализе различных экономических показателей, а также помощи в реализации государственных решений. </w:t>
      </w:r>
    </w:p>
    <w:p w:rsidR="00BB26AF" w:rsidRPr="00BB26AF" w:rsidRDefault="00BB26AF" w:rsidP="00BB26AF">
      <w:pPr>
        <w:spacing w:after="0" w:line="360" w:lineRule="auto"/>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lastRenderedPageBreak/>
        <w:tab/>
        <w:t xml:space="preserve">Внутри Казначейства выделены четыре рабочие группы в соответствии с приоритетными направлениями деятельности. Первым приоритетом является стабильная макроэкономическая ситуация. Для его реализации осуществляется анализ и мониторинг экономических условий Австралии и других зарубежных государств, оценка государственной политики в этой области и проведение консультаций в случае необходимости, активное участие в двусторонних, региональных и международных форумах для продвижения интересов Австралии. </w:t>
      </w:r>
    </w:p>
    <w:p w:rsidR="00BB26AF" w:rsidRPr="00BB26AF" w:rsidRDefault="00BB26AF" w:rsidP="00BB26AF">
      <w:pPr>
        <w:spacing w:after="0" w:line="360" w:lineRule="auto"/>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ab/>
        <w:t>Вторым приоритетом является разработка и осуществление федерального бюджета, а также помощь в классификации государственных расходов. Казначейство дает рекомендации относительно фискальной политики, эффективного управления государственными расходами и финансовой политики государства. Оно ответственно за составление бюджета страны и за подготовку других необходимых финансовых документов.</w:t>
      </w:r>
    </w:p>
    <w:p w:rsidR="00BB26AF" w:rsidRPr="00BB26AF" w:rsidRDefault="00BB26AF" w:rsidP="00BB26AF">
      <w:pPr>
        <w:spacing w:after="0" w:line="360" w:lineRule="auto"/>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ab/>
        <w:t xml:space="preserve">Эффективные системы налогообложения и пенсионного обеспечения – следующие важные направления деятельности Казначейства. Учреждение анализирует социальные и экономические эффекты от проводимой политики и корректирует её в зависимости от результатов, способствует развитию законов об эффективном осуществлении государственных решений. Казначейство также рассчитывает предполагаемые доходы государства и составляет дальнейшие прогнозы. </w:t>
      </w:r>
    </w:p>
    <w:p w:rsidR="00BB26AF" w:rsidRPr="00BB26AF" w:rsidRDefault="00BB26AF" w:rsidP="00BB26AF">
      <w:pPr>
        <w:spacing w:after="0" w:line="360" w:lineRule="auto"/>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ab/>
        <w:t xml:space="preserve">Последним приоритетом являются эффективно функционирующие финансовые рынки. Казначейство дает консультации по корпоративным вопросам и вопросам бухгалтерского учёта, следит за соответствием финансовой отчетности общепринятым стандартам, дает рекомендации по вопросам регулирования крупных корпораций и инвестиционных компаний. Учреждение также старается избежать </w:t>
      </w:r>
      <w:proofErr w:type="gramStart"/>
      <w:r w:rsidRPr="00BB26AF">
        <w:rPr>
          <w:rFonts w:ascii="Times New Roman" w:eastAsia="Times New Roman" w:hAnsi="Times New Roman" w:cs="Times New Roman"/>
          <w:sz w:val="28"/>
          <w:szCs w:val="28"/>
        </w:rPr>
        <w:t>излишнюю</w:t>
      </w:r>
      <w:proofErr w:type="gramEnd"/>
      <w:r w:rsidRPr="00BB26AF">
        <w:rPr>
          <w:rFonts w:ascii="Times New Roman" w:eastAsia="Times New Roman" w:hAnsi="Times New Roman" w:cs="Times New Roman"/>
          <w:sz w:val="28"/>
          <w:szCs w:val="28"/>
        </w:rPr>
        <w:t xml:space="preserve"> </w:t>
      </w:r>
      <w:proofErr w:type="spellStart"/>
      <w:r w:rsidRPr="00BB26AF">
        <w:rPr>
          <w:rFonts w:ascii="Times New Roman" w:eastAsia="Times New Roman" w:hAnsi="Times New Roman" w:cs="Times New Roman"/>
          <w:sz w:val="28"/>
          <w:szCs w:val="28"/>
        </w:rPr>
        <w:t>зарегулированность</w:t>
      </w:r>
      <w:proofErr w:type="spellEnd"/>
      <w:r w:rsidRPr="00BB26AF">
        <w:rPr>
          <w:rFonts w:ascii="Times New Roman" w:eastAsia="Times New Roman" w:hAnsi="Times New Roman" w:cs="Times New Roman"/>
          <w:sz w:val="28"/>
          <w:szCs w:val="28"/>
        </w:rPr>
        <w:t xml:space="preserve"> рынка, уменьшая давление на бизнес. </w:t>
      </w:r>
    </w:p>
    <w:p w:rsidR="00BB26AF" w:rsidRPr="00BB26AF" w:rsidRDefault="00BB26AF" w:rsidP="00BB26AF">
      <w:pPr>
        <w:spacing w:after="0" w:line="360" w:lineRule="auto"/>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lastRenderedPageBreak/>
        <w:tab/>
        <w:t xml:space="preserve">Казначейство входит в совет финансовых регуляторов. Генерал-губернатор Австралии по рекомендации главы Казначейства назначает губернатора и заместителя губернатора Резервного банка Австралии, а также членов </w:t>
      </w:r>
      <w:r w:rsidRPr="00BB26AF">
        <w:rPr>
          <w:rFonts w:ascii="Times New Roman" w:eastAsia="Times New Roman" w:hAnsi="Times New Roman" w:cs="Times New Roman"/>
          <w:sz w:val="28"/>
          <w:szCs w:val="28"/>
          <w:lang w:val="en-US"/>
        </w:rPr>
        <w:t>APRA</w:t>
      </w:r>
      <w:r w:rsidRPr="00BB26AF">
        <w:rPr>
          <w:rFonts w:ascii="Times New Roman" w:eastAsia="Times New Roman" w:hAnsi="Times New Roman" w:cs="Times New Roman"/>
          <w:sz w:val="28"/>
          <w:szCs w:val="28"/>
        </w:rPr>
        <w:t xml:space="preserve"> и </w:t>
      </w:r>
      <w:r w:rsidRPr="00BB26AF">
        <w:rPr>
          <w:rFonts w:ascii="Times New Roman" w:eastAsia="Times New Roman" w:hAnsi="Times New Roman" w:cs="Times New Roman"/>
          <w:sz w:val="28"/>
          <w:szCs w:val="28"/>
          <w:lang w:val="en-US"/>
        </w:rPr>
        <w:t>ASIC</w:t>
      </w:r>
      <w:r w:rsidRPr="00BB26AF">
        <w:rPr>
          <w:rFonts w:ascii="Times New Roman" w:eastAsia="Times New Roman" w:hAnsi="Times New Roman" w:cs="Times New Roman"/>
          <w:sz w:val="28"/>
          <w:szCs w:val="28"/>
        </w:rPr>
        <w:t xml:space="preserve">. Глава Казначейства также вправе руководить деятельностью </w:t>
      </w:r>
      <w:r w:rsidRPr="00BB26AF">
        <w:rPr>
          <w:rFonts w:ascii="Times New Roman" w:eastAsia="Times New Roman" w:hAnsi="Times New Roman" w:cs="Times New Roman"/>
          <w:sz w:val="28"/>
          <w:szCs w:val="28"/>
          <w:lang w:val="en-US"/>
        </w:rPr>
        <w:t>APRA</w:t>
      </w:r>
      <w:r w:rsidRPr="00BB26AF">
        <w:rPr>
          <w:rFonts w:ascii="Times New Roman" w:eastAsia="Times New Roman" w:hAnsi="Times New Roman" w:cs="Times New Roman"/>
          <w:sz w:val="28"/>
          <w:szCs w:val="28"/>
        </w:rPr>
        <w:t xml:space="preserve">, если он сочтет это необходимым. </w:t>
      </w:r>
    </w:p>
    <w:p w:rsidR="00BB26AF" w:rsidRPr="00BB26AF" w:rsidRDefault="00BB26AF" w:rsidP="00BB26AF">
      <w:pPr>
        <w:spacing w:after="0" w:line="360" w:lineRule="auto"/>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ab/>
        <w:t xml:space="preserve">Работа Казначейства включает широкий круг обязанностей, однако основной задачей является дальнейшее улучшение благосостояния жителей государства путем достижения устойчивого экономического роста и эффективного управления внутренними рынками. Для успешной реализации этой цели Казначейство сотрудничает с другими регулятивными органами, как на государственном, так и на международном уровне. </w:t>
      </w:r>
    </w:p>
    <w:p w:rsidR="00BB26AF" w:rsidRPr="00BB26AF" w:rsidRDefault="00BB26AF" w:rsidP="00BB26AF">
      <w:pPr>
        <w:spacing w:after="0" w:line="360" w:lineRule="auto"/>
        <w:jc w:val="both"/>
        <w:rPr>
          <w:rFonts w:ascii="Times New Roman" w:eastAsia="Times New Roman" w:hAnsi="Times New Roman" w:cs="Times New Roman"/>
          <w:b/>
          <w:sz w:val="28"/>
          <w:szCs w:val="28"/>
        </w:rPr>
      </w:pPr>
    </w:p>
    <w:p w:rsidR="00BB26AF" w:rsidRPr="00BB26AF" w:rsidRDefault="00BB26AF" w:rsidP="00BB26AF">
      <w:pPr>
        <w:spacing w:after="0" w:line="360" w:lineRule="auto"/>
        <w:jc w:val="both"/>
        <w:rPr>
          <w:rFonts w:ascii="Times New Roman" w:eastAsia="Times New Roman" w:hAnsi="Times New Roman" w:cs="Times New Roman"/>
          <w:b/>
          <w:sz w:val="28"/>
          <w:szCs w:val="28"/>
        </w:rPr>
      </w:pPr>
      <w:r w:rsidRPr="00BB26AF">
        <w:rPr>
          <w:rFonts w:ascii="Times New Roman" w:eastAsia="Times New Roman" w:hAnsi="Times New Roman" w:cs="Times New Roman"/>
          <w:b/>
          <w:sz w:val="28"/>
          <w:szCs w:val="28"/>
        </w:rPr>
        <w:t xml:space="preserve">2.6. Участие других организаций в финансовой системе Австралии </w:t>
      </w:r>
    </w:p>
    <w:p w:rsidR="00BB26AF" w:rsidRPr="00BB26AF" w:rsidRDefault="00BB26AF" w:rsidP="00BB26AF">
      <w:pPr>
        <w:spacing w:after="0" w:line="360" w:lineRule="auto"/>
        <w:jc w:val="both"/>
        <w:rPr>
          <w:rFonts w:ascii="Times New Roman" w:eastAsia="Times New Roman" w:hAnsi="Times New Roman" w:cs="Times New Roman"/>
          <w:sz w:val="28"/>
          <w:szCs w:val="28"/>
        </w:rPr>
      </w:pPr>
    </w:p>
    <w:p w:rsidR="00BB26AF" w:rsidRPr="00BB26AF" w:rsidRDefault="00BB26AF" w:rsidP="00BB26AF">
      <w:pPr>
        <w:spacing w:after="0" w:line="360" w:lineRule="auto"/>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ab/>
        <w:t>Помимо двух основных регулятивных органов, а также Резервного банка Австралии и Казначейства, деятельность нескольких других независимых учреждений также важна. Одним из таких органов является Австралийская комиссия по вопросам конкуренции и защиты потребителей (</w:t>
      </w:r>
      <w:r w:rsidRPr="00BB26AF">
        <w:rPr>
          <w:rFonts w:ascii="Times New Roman" w:eastAsia="Times New Roman" w:hAnsi="Times New Roman" w:cs="Times New Roman"/>
          <w:sz w:val="28"/>
          <w:szCs w:val="28"/>
          <w:lang w:val="en-US"/>
        </w:rPr>
        <w:t>ACCC</w:t>
      </w:r>
      <w:r w:rsidRPr="00BB26AF">
        <w:rPr>
          <w:rFonts w:ascii="Times New Roman" w:eastAsia="Times New Roman" w:hAnsi="Times New Roman" w:cs="Times New Roman"/>
          <w:sz w:val="28"/>
          <w:szCs w:val="28"/>
        </w:rPr>
        <w:t xml:space="preserve">). Она принимает необходимые меры по улучшению благосостояния потребителей, приостановлению деятельности в случае обнаружения антиконкурентного поведения, вредящего другим участникам рынка. Основными приоритетами работы </w:t>
      </w:r>
      <w:r w:rsidRPr="00BB26AF">
        <w:rPr>
          <w:rFonts w:ascii="Times New Roman" w:eastAsia="Times New Roman" w:hAnsi="Times New Roman" w:cs="Times New Roman"/>
          <w:sz w:val="28"/>
          <w:szCs w:val="28"/>
          <w:lang w:val="en-US"/>
        </w:rPr>
        <w:t>ACCC</w:t>
      </w:r>
      <w:r w:rsidRPr="00BB26AF">
        <w:rPr>
          <w:rFonts w:ascii="Times New Roman" w:eastAsia="Times New Roman" w:hAnsi="Times New Roman" w:cs="Times New Roman"/>
          <w:sz w:val="28"/>
          <w:szCs w:val="28"/>
        </w:rPr>
        <w:t xml:space="preserve"> являются поддержка и развитие конкуренции на рынках, защита интересов и безопасности потребителей, а также обеспечение добросовестной торговли. Комиссия контролирует конкуренцию во всей финансовой системе, включая банки и страховые компании, случаи слияний и поглощений, и предотвращает неконкурентное поведение финансовых институтов. </w:t>
      </w:r>
    </w:p>
    <w:p w:rsidR="00BB26AF" w:rsidRPr="00BB26AF" w:rsidRDefault="00BB26AF" w:rsidP="00BB26AF">
      <w:pPr>
        <w:spacing w:after="0" w:line="360" w:lineRule="auto"/>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ab/>
        <w:t xml:space="preserve">В 1998 году в рамках реформ организации по исследованию финансовой системы был учрежден консультативный совет по финансовому сектору (FSAC). В него входят финансовые эксперты, консультирующие </w:t>
      </w:r>
      <w:r w:rsidRPr="00BB26AF">
        <w:rPr>
          <w:rFonts w:ascii="Times New Roman" w:eastAsia="Times New Roman" w:hAnsi="Times New Roman" w:cs="Times New Roman"/>
          <w:sz w:val="28"/>
          <w:szCs w:val="28"/>
        </w:rPr>
        <w:lastRenderedPageBreak/>
        <w:t xml:space="preserve">Правительство по мерам, которые бы обеспечивали динамичное и эффективное функционирование финансового сектора экономики. Совет признан регулирующими органами и представителями других отраслей как важная организация, представляющее независимое мнение по различным финансовым вопросам. </w:t>
      </w:r>
    </w:p>
    <w:p w:rsidR="00BB26AF" w:rsidRPr="00BB26AF" w:rsidRDefault="00BB26AF" w:rsidP="00BB26AF">
      <w:pPr>
        <w:spacing w:after="0" w:line="360" w:lineRule="auto"/>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ab/>
        <w:t>Учреждением, вовлеченным не только в регулятивную деятельность, но и непосредственно в осуществление различных финансовых операций, является австралийская фондовая биржа (</w:t>
      </w:r>
      <w:r w:rsidRPr="00BB26AF">
        <w:rPr>
          <w:rFonts w:ascii="Times New Roman" w:eastAsia="Times New Roman" w:hAnsi="Times New Roman" w:cs="Times New Roman"/>
          <w:sz w:val="28"/>
          <w:szCs w:val="28"/>
          <w:lang w:val="en-US"/>
        </w:rPr>
        <w:t>ASX</w:t>
      </w:r>
      <w:r w:rsidRPr="00BB26AF">
        <w:rPr>
          <w:rFonts w:ascii="Times New Roman" w:eastAsia="Times New Roman" w:hAnsi="Times New Roman" w:cs="Times New Roman"/>
          <w:sz w:val="28"/>
          <w:szCs w:val="28"/>
        </w:rPr>
        <w:t xml:space="preserve">). </w:t>
      </w:r>
      <w:proofErr w:type="gramStart"/>
      <w:r w:rsidRPr="00BB26AF">
        <w:rPr>
          <w:rFonts w:ascii="Times New Roman" w:eastAsia="Times New Roman" w:hAnsi="Times New Roman" w:cs="Times New Roman"/>
          <w:sz w:val="28"/>
          <w:szCs w:val="28"/>
          <w:lang w:val="en-US"/>
        </w:rPr>
        <w:t>ASX</w:t>
      </w:r>
      <w:r w:rsidRPr="00BB26AF">
        <w:rPr>
          <w:rFonts w:ascii="Times New Roman" w:eastAsia="Times New Roman" w:hAnsi="Times New Roman" w:cs="Times New Roman"/>
          <w:sz w:val="28"/>
          <w:szCs w:val="28"/>
        </w:rPr>
        <w:t xml:space="preserve"> – главная биржа страны.</w:t>
      </w:r>
      <w:proofErr w:type="gramEnd"/>
      <w:r w:rsidRPr="00BB26AF">
        <w:rPr>
          <w:rFonts w:ascii="Times New Roman" w:eastAsia="Times New Roman" w:hAnsi="Times New Roman" w:cs="Times New Roman"/>
          <w:sz w:val="28"/>
          <w:szCs w:val="28"/>
        </w:rPr>
        <w:t xml:space="preserve"> Она была сформирована в 1987 году, когда австралийский Парламент разработал законопроект, объединявший шесть независимых фондовых бирж, функционировавших на уровне штатов. В 2006 году австралийская фондовая биржа слилась с сиднейской фьючерсной биржей и несколько лет сохраняла свое прежнее название. Однако с 1 августа 2010 года её официально переименовали в ASX </w:t>
      </w:r>
      <w:proofErr w:type="spellStart"/>
      <w:r w:rsidRPr="00BB26AF">
        <w:rPr>
          <w:rFonts w:ascii="Times New Roman" w:eastAsia="Times New Roman" w:hAnsi="Times New Roman" w:cs="Times New Roman"/>
          <w:sz w:val="28"/>
          <w:szCs w:val="28"/>
        </w:rPr>
        <w:t>Group</w:t>
      </w:r>
      <w:proofErr w:type="spellEnd"/>
      <w:r w:rsidRPr="00BB26AF">
        <w:rPr>
          <w:rFonts w:ascii="Times New Roman" w:eastAsia="Times New Roman" w:hAnsi="Times New Roman" w:cs="Times New Roman"/>
          <w:sz w:val="28"/>
          <w:szCs w:val="28"/>
        </w:rPr>
        <w:t xml:space="preserve">. Вместе с </w:t>
      </w:r>
      <w:r w:rsidRPr="00BB26AF">
        <w:rPr>
          <w:rFonts w:ascii="Times New Roman" w:eastAsia="Times New Roman" w:hAnsi="Times New Roman" w:cs="Times New Roman"/>
          <w:sz w:val="28"/>
          <w:szCs w:val="28"/>
          <w:lang w:val="en-US"/>
        </w:rPr>
        <w:t>ASIC</w:t>
      </w:r>
      <w:r w:rsidRPr="00BB26AF">
        <w:rPr>
          <w:rFonts w:ascii="Times New Roman" w:eastAsia="Times New Roman" w:hAnsi="Times New Roman" w:cs="Times New Roman"/>
          <w:sz w:val="28"/>
          <w:szCs w:val="28"/>
        </w:rPr>
        <w:t xml:space="preserve"> биржа контролирует соответствие деятельности участников рынка правилам листинга и другим установленным стандартам. </w:t>
      </w:r>
    </w:p>
    <w:p w:rsidR="00BB26AF" w:rsidRPr="00BB26AF" w:rsidRDefault="00BB26AF" w:rsidP="00BB26AF">
      <w:pPr>
        <w:spacing w:after="0" w:line="360" w:lineRule="auto"/>
        <w:jc w:val="both"/>
        <w:rPr>
          <w:rFonts w:ascii="Times New Roman" w:eastAsia="Times New Roman" w:hAnsi="Times New Roman" w:cs="Times New Roman"/>
          <w:sz w:val="28"/>
          <w:szCs w:val="28"/>
        </w:rPr>
      </w:pPr>
      <w:r w:rsidRPr="00BB26AF">
        <w:rPr>
          <w:rFonts w:ascii="Times New Roman" w:eastAsia="Times New Roman" w:hAnsi="Times New Roman" w:cs="Times New Roman"/>
          <w:sz w:val="28"/>
          <w:szCs w:val="28"/>
        </w:rPr>
        <w:tab/>
        <w:t xml:space="preserve">Текущая австралийская структура финансового регулирования представлена двумя регулятивными органами: Австралийской администрацией регулирования с совещательным правом, ответственной за пруденциальное регулирование,  и Австралийской комиссией по ценным бумагам и инвестициям, отвечающей за поведение участников рынка. Переход к системе </w:t>
      </w:r>
      <w:r w:rsidRPr="00BB26AF">
        <w:rPr>
          <w:rFonts w:ascii="Times New Roman" w:eastAsia="Times New Roman" w:hAnsi="Times New Roman" w:cs="Times New Roman"/>
          <w:sz w:val="28"/>
          <w:szCs w:val="28"/>
          <w:lang w:val="en-US"/>
        </w:rPr>
        <w:t>Twin</w:t>
      </w:r>
      <w:r w:rsidRPr="00BB26AF">
        <w:rPr>
          <w:rFonts w:ascii="Times New Roman" w:eastAsia="Times New Roman" w:hAnsi="Times New Roman" w:cs="Times New Roman"/>
          <w:sz w:val="28"/>
          <w:szCs w:val="28"/>
        </w:rPr>
        <w:t xml:space="preserve"> </w:t>
      </w:r>
      <w:r w:rsidRPr="00BB26AF">
        <w:rPr>
          <w:rFonts w:ascii="Times New Roman" w:eastAsia="Times New Roman" w:hAnsi="Times New Roman" w:cs="Times New Roman"/>
          <w:sz w:val="28"/>
          <w:szCs w:val="28"/>
          <w:lang w:val="en-US"/>
        </w:rPr>
        <w:t>Peaks</w:t>
      </w:r>
      <w:r w:rsidRPr="00BB26AF">
        <w:rPr>
          <w:rFonts w:ascii="Times New Roman" w:eastAsia="Times New Roman" w:hAnsi="Times New Roman" w:cs="Times New Roman"/>
          <w:sz w:val="28"/>
          <w:szCs w:val="28"/>
        </w:rPr>
        <w:t xml:space="preserve"> предполагал создание двух этих учреждений, однако Резервный банк Австралии и Казначейство также наделены полномочиями в сфере регулирования. Системная стабильность финансовой системы остается прерогативой Резервного банка Австралии, тогда как Казначейство стремится улучшить благосостояния жителей государства путем достижения устойчивого экономического роста и эффективного управления внутренними рынками. Не менее важными участниками рынка являются Австралийская комиссия по вопросам конкуренции и защиты потребителей, Консультативный совет по финансовому сектору и </w:t>
      </w:r>
      <w:r w:rsidRPr="00BB26AF">
        <w:rPr>
          <w:rFonts w:ascii="Times New Roman" w:eastAsia="Times New Roman" w:hAnsi="Times New Roman" w:cs="Times New Roman"/>
          <w:sz w:val="28"/>
          <w:szCs w:val="28"/>
        </w:rPr>
        <w:lastRenderedPageBreak/>
        <w:t xml:space="preserve">австралийская фондовая биржа. Вместе все эти учреждения обеспечивают эффективное функционирование финансовых рынков и стабильность всей финансовой системы. </w:t>
      </w:r>
    </w:p>
    <w:p w:rsidR="00BB26AF" w:rsidRDefault="00BB26AF" w:rsidP="00986F2F">
      <w:pPr>
        <w:spacing w:line="360" w:lineRule="auto"/>
        <w:jc w:val="both"/>
        <w:rPr>
          <w:rFonts w:ascii="Times New Roman" w:hAnsi="Times New Roman"/>
          <w:sz w:val="28"/>
          <w:szCs w:val="28"/>
        </w:rPr>
      </w:pPr>
    </w:p>
    <w:p w:rsidR="004D16DD" w:rsidRDefault="004D16DD" w:rsidP="00986F2F">
      <w:pPr>
        <w:spacing w:line="360" w:lineRule="auto"/>
        <w:jc w:val="both"/>
        <w:rPr>
          <w:rFonts w:ascii="Times New Roman" w:hAnsi="Times New Roman"/>
          <w:sz w:val="28"/>
          <w:szCs w:val="28"/>
        </w:rPr>
      </w:pPr>
    </w:p>
    <w:p w:rsidR="004D16DD" w:rsidRDefault="004D16DD" w:rsidP="00986F2F">
      <w:pPr>
        <w:spacing w:line="360" w:lineRule="auto"/>
        <w:jc w:val="both"/>
        <w:rPr>
          <w:rFonts w:ascii="Times New Roman" w:hAnsi="Times New Roman"/>
          <w:sz w:val="28"/>
          <w:szCs w:val="28"/>
        </w:rPr>
      </w:pPr>
    </w:p>
    <w:p w:rsidR="004D16DD" w:rsidRDefault="004D16DD" w:rsidP="00986F2F">
      <w:pPr>
        <w:spacing w:line="360" w:lineRule="auto"/>
        <w:jc w:val="both"/>
        <w:rPr>
          <w:rFonts w:ascii="Times New Roman" w:hAnsi="Times New Roman"/>
          <w:sz w:val="28"/>
          <w:szCs w:val="28"/>
        </w:rPr>
      </w:pPr>
    </w:p>
    <w:p w:rsidR="004D16DD" w:rsidRDefault="004D16DD" w:rsidP="00986F2F">
      <w:pPr>
        <w:spacing w:line="360" w:lineRule="auto"/>
        <w:jc w:val="both"/>
        <w:rPr>
          <w:rFonts w:ascii="Times New Roman" w:hAnsi="Times New Roman"/>
          <w:sz w:val="28"/>
          <w:szCs w:val="28"/>
        </w:rPr>
      </w:pPr>
    </w:p>
    <w:p w:rsidR="004D16DD" w:rsidRDefault="004D16DD" w:rsidP="00986F2F">
      <w:pPr>
        <w:spacing w:line="360" w:lineRule="auto"/>
        <w:jc w:val="both"/>
        <w:rPr>
          <w:rFonts w:ascii="Times New Roman" w:hAnsi="Times New Roman"/>
          <w:sz w:val="28"/>
          <w:szCs w:val="28"/>
        </w:rPr>
      </w:pPr>
    </w:p>
    <w:p w:rsidR="004D16DD" w:rsidRDefault="004D16DD" w:rsidP="00986F2F">
      <w:pPr>
        <w:spacing w:line="360" w:lineRule="auto"/>
        <w:jc w:val="both"/>
        <w:rPr>
          <w:rFonts w:ascii="Times New Roman" w:hAnsi="Times New Roman"/>
          <w:sz w:val="28"/>
          <w:szCs w:val="28"/>
        </w:rPr>
      </w:pPr>
    </w:p>
    <w:p w:rsidR="004D16DD" w:rsidRDefault="004D16DD" w:rsidP="00986F2F">
      <w:pPr>
        <w:spacing w:line="360" w:lineRule="auto"/>
        <w:jc w:val="both"/>
        <w:rPr>
          <w:rFonts w:ascii="Times New Roman" w:hAnsi="Times New Roman"/>
          <w:sz w:val="28"/>
          <w:szCs w:val="28"/>
        </w:rPr>
      </w:pPr>
    </w:p>
    <w:p w:rsidR="004D16DD" w:rsidRDefault="004D16DD" w:rsidP="00986F2F">
      <w:pPr>
        <w:spacing w:line="360" w:lineRule="auto"/>
        <w:jc w:val="both"/>
        <w:rPr>
          <w:rFonts w:ascii="Times New Roman" w:hAnsi="Times New Roman"/>
          <w:sz w:val="28"/>
          <w:szCs w:val="28"/>
        </w:rPr>
      </w:pPr>
    </w:p>
    <w:p w:rsidR="004D16DD" w:rsidRDefault="004D16DD" w:rsidP="00986F2F">
      <w:pPr>
        <w:spacing w:line="360" w:lineRule="auto"/>
        <w:jc w:val="both"/>
        <w:rPr>
          <w:rFonts w:ascii="Times New Roman" w:hAnsi="Times New Roman"/>
          <w:sz w:val="28"/>
          <w:szCs w:val="28"/>
        </w:rPr>
      </w:pPr>
    </w:p>
    <w:p w:rsidR="004D16DD" w:rsidRDefault="004D16DD" w:rsidP="00986F2F">
      <w:pPr>
        <w:spacing w:line="360" w:lineRule="auto"/>
        <w:jc w:val="both"/>
        <w:rPr>
          <w:rFonts w:ascii="Times New Roman" w:hAnsi="Times New Roman"/>
          <w:sz w:val="28"/>
          <w:szCs w:val="28"/>
        </w:rPr>
      </w:pPr>
    </w:p>
    <w:p w:rsidR="004D16DD" w:rsidRDefault="004D16DD" w:rsidP="00986F2F">
      <w:pPr>
        <w:spacing w:line="360" w:lineRule="auto"/>
        <w:jc w:val="both"/>
        <w:rPr>
          <w:rFonts w:ascii="Times New Roman" w:hAnsi="Times New Roman"/>
          <w:sz w:val="28"/>
          <w:szCs w:val="28"/>
        </w:rPr>
      </w:pPr>
    </w:p>
    <w:p w:rsidR="004D16DD" w:rsidRDefault="004D16DD" w:rsidP="00986F2F">
      <w:pPr>
        <w:spacing w:line="360" w:lineRule="auto"/>
        <w:jc w:val="both"/>
        <w:rPr>
          <w:rFonts w:ascii="Times New Roman" w:hAnsi="Times New Roman"/>
          <w:sz w:val="28"/>
          <w:szCs w:val="28"/>
        </w:rPr>
      </w:pPr>
    </w:p>
    <w:p w:rsidR="004D16DD" w:rsidRDefault="004D16DD" w:rsidP="00986F2F">
      <w:pPr>
        <w:spacing w:line="360" w:lineRule="auto"/>
        <w:jc w:val="both"/>
        <w:rPr>
          <w:rFonts w:ascii="Times New Roman" w:hAnsi="Times New Roman"/>
          <w:sz w:val="28"/>
          <w:szCs w:val="28"/>
        </w:rPr>
      </w:pPr>
    </w:p>
    <w:p w:rsidR="004D16DD" w:rsidRDefault="004D16DD" w:rsidP="00986F2F">
      <w:pPr>
        <w:spacing w:line="360" w:lineRule="auto"/>
        <w:jc w:val="both"/>
        <w:rPr>
          <w:rFonts w:ascii="Times New Roman" w:hAnsi="Times New Roman"/>
          <w:sz w:val="28"/>
          <w:szCs w:val="28"/>
        </w:rPr>
      </w:pPr>
    </w:p>
    <w:p w:rsidR="004D16DD" w:rsidRDefault="004D16DD">
      <w:pPr>
        <w:rPr>
          <w:rFonts w:ascii="Times New Roman" w:hAnsi="Times New Roman"/>
          <w:sz w:val="28"/>
          <w:szCs w:val="28"/>
        </w:rPr>
      </w:pPr>
      <w:r>
        <w:rPr>
          <w:rFonts w:ascii="Times New Roman" w:hAnsi="Times New Roman"/>
          <w:sz w:val="28"/>
          <w:szCs w:val="28"/>
        </w:rPr>
        <w:br w:type="page"/>
      </w:r>
    </w:p>
    <w:p w:rsidR="00C92781" w:rsidRPr="00C92781" w:rsidRDefault="00C92781" w:rsidP="00C92781">
      <w:pPr>
        <w:spacing w:line="360" w:lineRule="auto"/>
        <w:jc w:val="center"/>
        <w:rPr>
          <w:rFonts w:ascii="Times New Roman" w:eastAsia="Calibri" w:hAnsi="Times New Roman" w:cs="Times New Roman"/>
          <w:b/>
          <w:sz w:val="32"/>
          <w:szCs w:val="32"/>
        </w:rPr>
      </w:pPr>
      <w:r w:rsidRPr="00C92781">
        <w:rPr>
          <w:rFonts w:ascii="Times New Roman" w:eastAsia="Calibri" w:hAnsi="Times New Roman" w:cs="Times New Roman"/>
          <w:b/>
          <w:sz w:val="32"/>
          <w:szCs w:val="32"/>
        </w:rPr>
        <w:lastRenderedPageBreak/>
        <w:t xml:space="preserve">Глава 3. Эффективность системы </w:t>
      </w:r>
      <w:r w:rsidRPr="00C92781">
        <w:rPr>
          <w:rFonts w:ascii="Times New Roman" w:eastAsia="Calibri" w:hAnsi="Times New Roman" w:cs="Times New Roman"/>
          <w:b/>
          <w:sz w:val="32"/>
          <w:szCs w:val="32"/>
          <w:lang w:val="en-US"/>
        </w:rPr>
        <w:t>Twin</w:t>
      </w:r>
      <w:r w:rsidRPr="00C92781">
        <w:rPr>
          <w:rFonts w:ascii="Times New Roman" w:eastAsia="Calibri" w:hAnsi="Times New Roman" w:cs="Times New Roman"/>
          <w:b/>
          <w:sz w:val="32"/>
          <w:szCs w:val="32"/>
        </w:rPr>
        <w:t xml:space="preserve"> </w:t>
      </w:r>
      <w:r w:rsidRPr="00C92781">
        <w:rPr>
          <w:rFonts w:ascii="Times New Roman" w:eastAsia="Calibri" w:hAnsi="Times New Roman" w:cs="Times New Roman"/>
          <w:b/>
          <w:sz w:val="32"/>
          <w:szCs w:val="32"/>
          <w:lang w:val="en-US"/>
        </w:rPr>
        <w:t>Peaks</w:t>
      </w:r>
      <w:r w:rsidRPr="00C92781">
        <w:rPr>
          <w:rFonts w:ascii="Times New Roman" w:eastAsia="Calibri" w:hAnsi="Times New Roman" w:cs="Times New Roman"/>
          <w:b/>
          <w:sz w:val="32"/>
          <w:szCs w:val="32"/>
        </w:rPr>
        <w:t xml:space="preserve"> и оценка поведения профучастников</w:t>
      </w:r>
    </w:p>
    <w:p w:rsidR="00C92781" w:rsidRPr="00C92781" w:rsidRDefault="00C92781" w:rsidP="00C92781">
      <w:pPr>
        <w:spacing w:line="360" w:lineRule="auto"/>
        <w:jc w:val="both"/>
        <w:rPr>
          <w:rFonts w:ascii="Times New Roman" w:eastAsia="Calibri" w:hAnsi="Times New Roman" w:cs="Times New Roman"/>
          <w:sz w:val="28"/>
          <w:szCs w:val="28"/>
        </w:rPr>
      </w:pPr>
    </w:p>
    <w:p w:rsidR="00C92781" w:rsidRPr="00C92781" w:rsidRDefault="00C92781" w:rsidP="00C92781">
      <w:pPr>
        <w:spacing w:line="360" w:lineRule="auto"/>
        <w:ind w:firstLine="708"/>
        <w:jc w:val="both"/>
        <w:rPr>
          <w:rFonts w:ascii="Times New Roman" w:eastAsia="Calibri" w:hAnsi="Times New Roman" w:cs="Times New Roman"/>
          <w:sz w:val="28"/>
          <w:szCs w:val="28"/>
        </w:rPr>
      </w:pPr>
      <w:r w:rsidRPr="00C92781">
        <w:rPr>
          <w:rFonts w:ascii="Times New Roman" w:eastAsia="Calibri" w:hAnsi="Times New Roman" w:cs="Times New Roman"/>
          <w:sz w:val="28"/>
          <w:szCs w:val="28"/>
        </w:rPr>
        <w:t xml:space="preserve">В связи с масштабной сменой организационной формы фондовых бирж, осуществляющейся последние двадцать лет, вопросы пределов регулирующих полномочий саморегулируемых институтов рынка, а также возможного конфликта интересов между акционерами биржи и её членами стали особо актуальными. Активный рост на финансовых рынках по всему миру, финансовый кризис 2008 года, распространившийся из Соединенных Штатов Америки (США) на многие страны, лишь подтверждают необходимость пересмотра и дальнейшего усовершенствования системы финансового надзора практически всеми государствами. Модель США, предполагающая активную интеграцию саморегулируемых организаций в процесс регулирования, не оправдала себя, так как кризис начался именно в этой стране и, очевидно, негативно повлиял на состояние её финансового рынка. </w:t>
      </w:r>
      <w:proofErr w:type="gramStart"/>
      <w:r w:rsidRPr="00C92781">
        <w:rPr>
          <w:rFonts w:ascii="Times New Roman" w:eastAsia="Calibri" w:hAnsi="Times New Roman" w:cs="Times New Roman"/>
          <w:sz w:val="28"/>
          <w:szCs w:val="28"/>
        </w:rPr>
        <w:t>Существование конфликта между регулятивными и коммерческими интересами вызывает сомнения по поводу эффективности деятельности саморегулируемых организаций на финансовом рынке, а также по поводу надлежащей реализации регулятивных полномочий без активного участия национальных суверенных регуляторов</w:t>
      </w:r>
      <w:r w:rsidRPr="00C92781">
        <w:rPr>
          <w:rFonts w:ascii="Times New Roman" w:eastAsia="Calibri" w:hAnsi="Times New Roman" w:cs="Times New Roman"/>
          <w:sz w:val="28"/>
          <w:szCs w:val="28"/>
          <w:vertAlign w:val="superscript"/>
        </w:rPr>
        <w:footnoteReference w:id="13"/>
      </w:r>
      <w:r w:rsidRPr="00C92781">
        <w:rPr>
          <w:rFonts w:ascii="Times New Roman" w:eastAsia="Calibri" w:hAnsi="Times New Roman" w:cs="Times New Roman"/>
          <w:sz w:val="28"/>
          <w:szCs w:val="28"/>
        </w:rPr>
        <w:t xml:space="preserve">.  Австралийская система </w:t>
      </w:r>
      <w:r w:rsidRPr="00C92781">
        <w:rPr>
          <w:rFonts w:ascii="Times New Roman" w:eastAsia="Calibri" w:hAnsi="Times New Roman" w:cs="Times New Roman"/>
          <w:sz w:val="28"/>
          <w:szCs w:val="28"/>
          <w:lang w:val="en-US"/>
        </w:rPr>
        <w:t>Twin</w:t>
      </w:r>
      <w:r w:rsidRPr="00C92781">
        <w:rPr>
          <w:rFonts w:ascii="Times New Roman" w:eastAsia="Calibri" w:hAnsi="Times New Roman" w:cs="Times New Roman"/>
          <w:sz w:val="28"/>
          <w:szCs w:val="28"/>
        </w:rPr>
        <w:t xml:space="preserve"> </w:t>
      </w:r>
      <w:r w:rsidRPr="00C92781">
        <w:rPr>
          <w:rFonts w:ascii="Times New Roman" w:eastAsia="Calibri" w:hAnsi="Times New Roman" w:cs="Times New Roman"/>
          <w:sz w:val="28"/>
          <w:szCs w:val="28"/>
          <w:lang w:val="en-US"/>
        </w:rPr>
        <w:t>Peaks</w:t>
      </w:r>
      <w:r w:rsidRPr="00C92781">
        <w:rPr>
          <w:rFonts w:ascii="Times New Roman" w:eastAsia="Calibri" w:hAnsi="Times New Roman" w:cs="Times New Roman"/>
          <w:sz w:val="28"/>
          <w:szCs w:val="28"/>
        </w:rPr>
        <w:t>, сочетающая преимущества нескольких подходов к финансовому надзору, выделяет особое место саморегулируемым организациям, однако помимо этого имеет ряд суверенных регуляторов, осуществляющих постоянный контроль за деятельностью</w:t>
      </w:r>
      <w:proofErr w:type="gramEnd"/>
      <w:r w:rsidRPr="00C92781">
        <w:rPr>
          <w:rFonts w:ascii="Times New Roman" w:eastAsia="Calibri" w:hAnsi="Times New Roman" w:cs="Times New Roman"/>
          <w:sz w:val="28"/>
          <w:szCs w:val="28"/>
        </w:rPr>
        <w:t xml:space="preserve"> профессиональных участников рынка. Финансовый сектор Австралии оказался более устойчивым к последствиям кризиса, что может свидетельствовать о превосходстве системы регулирования </w:t>
      </w:r>
      <w:r w:rsidRPr="00C92781">
        <w:rPr>
          <w:rFonts w:ascii="Times New Roman" w:eastAsia="Calibri" w:hAnsi="Times New Roman" w:cs="Times New Roman"/>
          <w:sz w:val="28"/>
          <w:szCs w:val="28"/>
          <w:lang w:val="en-US"/>
        </w:rPr>
        <w:t>Twin</w:t>
      </w:r>
      <w:r w:rsidRPr="00C92781">
        <w:rPr>
          <w:rFonts w:ascii="Times New Roman" w:eastAsia="Calibri" w:hAnsi="Times New Roman" w:cs="Times New Roman"/>
          <w:sz w:val="28"/>
          <w:szCs w:val="28"/>
        </w:rPr>
        <w:t xml:space="preserve"> </w:t>
      </w:r>
      <w:r w:rsidRPr="00C92781">
        <w:rPr>
          <w:rFonts w:ascii="Times New Roman" w:eastAsia="Calibri" w:hAnsi="Times New Roman" w:cs="Times New Roman"/>
          <w:sz w:val="28"/>
          <w:szCs w:val="28"/>
          <w:lang w:val="en-US"/>
        </w:rPr>
        <w:t>Peaks</w:t>
      </w:r>
      <w:r w:rsidRPr="00C92781">
        <w:rPr>
          <w:rFonts w:ascii="Times New Roman" w:eastAsia="Calibri" w:hAnsi="Times New Roman" w:cs="Times New Roman"/>
          <w:sz w:val="28"/>
          <w:szCs w:val="28"/>
        </w:rPr>
        <w:t xml:space="preserve"> над моделью США. </w:t>
      </w:r>
    </w:p>
    <w:p w:rsidR="00C92781" w:rsidRPr="00C92781" w:rsidRDefault="00C92781" w:rsidP="00C92781">
      <w:pPr>
        <w:spacing w:line="360" w:lineRule="auto"/>
        <w:ind w:firstLine="708"/>
        <w:jc w:val="both"/>
        <w:rPr>
          <w:rFonts w:ascii="Times New Roman" w:eastAsia="Calibri" w:hAnsi="Times New Roman" w:cs="Times New Roman"/>
          <w:sz w:val="28"/>
          <w:szCs w:val="28"/>
        </w:rPr>
      </w:pPr>
      <w:r w:rsidRPr="00C92781">
        <w:rPr>
          <w:rFonts w:ascii="Times New Roman" w:eastAsia="Calibri" w:hAnsi="Times New Roman" w:cs="Times New Roman"/>
          <w:sz w:val="28"/>
          <w:szCs w:val="28"/>
        </w:rPr>
        <w:lastRenderedPageBreak/>
        <w:t xml:space="preserve">В данной главе оценивается эффективность применяемой в Австралии системы регулирования </w:t>
      </w:r>
      <w:r w:rsidRPr="00C92781">
        <w:rPr>
          <w:rFonts w:ascii="Times New Roman" w:eastAsia="Calibri" w:hAnsi="Times New Roman" w:cs="Times New Roman"/>
          <w:sz w:val="28"/>
          <w:szCs w:val="28"/>
          <w:lang w:val="en-US"/>
        </w:rPr>
        <w:t>Twin</w:t>
      </w:r>
      <w:r w:rsidRPr="00C92781">
        <w:rPr>
          <w:rFonts w:ascii="Times New Roman" w:eastAsia="Calibri" w:hAnsi="Times New Roman" w:cs="Times New Roman"/>
          <w:sz w:val="28"/>
          <w:szCs w:val="28"/>
        </w:rPr>
        <w:t xml:space="preserve"> </w:t>
      </w:r>
      <w:proofErr w:type="gramStart"/>
      <w:r w:rsidRPr="00C92781">
        <w:rPr>
          <w:rFonts w:ascii="Times New Roman" w:eastAsia="Calibri" w:hAnsi="Times New Roman" w:cs="Times New Roman"/>
          <w:sz w:val="28"/>
          <w:szCs w:val="28"/>
          <w:lang w:val="en-US"/>
        </w:rPr>
        <w:t>Peaks</w:t>
      </w:r>
      <w:proofErr w:type="gramEnd"/>
      <w:r w:rsidRPr="00C92781">
        <w:rPr>
          <w:rFonts w:ascii="Times New Roman" w:eastAsia="Calibri" w:hAnsi="Times New Roman" w:cs="Times New Roman"/>
          <w:sz w:val="28"/>
          <w:szCs w:val="28"/>
        </w:rPr>
        <w:t xml:space="preserve"> и рассматриваются особенности поведения профессиональных участников рынка путем нахождения уровней их индивидуальных предпочтений. Полученные структура предпочтений сравнивается с данными по финансовому рынку США за сопоставимый промежуток времени для выявления глубины конфликта интересов в саморегулируемых организациях двух стран. Таким образом, подход США к финансовому надзору, основанный на предоставлении саморегулируемым организациям независимости и широкого круга полномочий во многих областях регулирования, соотносится с австралийской системой, заключающейся в тесном взаимодействии национальных суверенных регуляторов с саморегулируемыми организациями, сфера деятельности которых четко определена и контролируется. Полученные результаты анализируются в контексте распределения полномочий по регулированию финансового рынка между национальными суверенными регуляторами и саморегулируемыми организациями. </w:t>
      </w:r>
    </w:p>
    <w:p w:rsidR="00C92781" w:rsidRPr="00C92781" w:rsidRDefault="00C92781" w:rsidP="00C92781">
      <w:pPr>
        <w:spacing w:line="360" w:lineRule="auto"/>
        <w:jc w:val="both"/>
        <w:rPr>
          <w:rFonts w:ascii="Times New Roman" w:eastAsia="Calibri" w:hAnsi="Times New Roman" w:cs="Times New Roman"/>
          <w:sz w:val="28"/>
          <w:szCs w:val="28"/>
        </w:rPr>
      </w:pPr>
    </w:p>
    <w:p w:rsidR="00C92781" w:rsidRPr="00C92781" w:rsidRDefault="00C92781" w:rsidP="00C92781">
      <w:pPr>
        <w:spacing w:line="360" w:lineRule="auto"/>
        <w:jc w:val="both"/>
        <w:rPr>
          <w:rFonts w:ascii="Times New Roman" w:eastAsia="Calibri" w:hAnsi="Times New Roman" w:cs="Times New Roman"/>
          <w:b/>
          <w:sz w:val="28"/>
          <w:szCs w:val="28"/>
        </w:rPr>
      </w:pPr>
      <w:r w:rsidRPr="00C92781">
        <w:rPr>
          <w:rFonts w:ascii="Times New Roman" w:eastAsia="Calibri" w:hAnsi="Times New Roman" w:cs="Times New Roman"/>
          <w:b/>
          <w:sz w:val="28"/>
          <w:szCs w:val="28"/>
        </w:rPr>
        <w:t>3.1. Измерение информационной эффективности по Шеннону</w:t>
      </w:r>
    </w:p>
    <w:p w:rsidR="00C92781" w:rsidRPr="00C92781" w:rsidRDefault="00C92781" w:rsidP="00C92781">
      <w:pPr>
        <w:spacing w:line="360" w:lineRule="auto"/>
        <w:jc w:val="both"/>
        <w:rPr>
          <w:rFonts w:ascii="Times New Roman" w:eastAsia="Calibri" w:hAnsi="Times New Roman" w:cs="Times New Roman"/>
          <w:sz w:val="28"/>
          <w:szCs w:val="28"/>
        </w:rPr>
      </w:pPr>
    </w:p>
    <w:p w:rsidR="00C92781" w:rsidRPr="00C92781" w:rsidRDefault="00C92781" w:rsidP="00C92781">
      <w:pPr>
        <w:spacing w:line="360" w:lineRule="auto"/>
        <w:ind w:firstLine="708"/>
        <w:jc w:val="both"/>
        <w:rPr>
          <w:rFonts w:ascii="Times New Roman" w:eastAsia="Calibri" w:hAnsi="Times New Roman" w:cs="Times New Roman"/>
          <w:sz w:val="28"/>
          <w:szCs w:val="28"/>
        </w:rPr>
      </w:pPr>
      <w:r w:rsidRPr="00C92781">
        <w:rPr>
          <w:rFonts w:ascii="Times New Roman" w:eastAsia="Calibri" w:hAnsi="Times New Roman" w:cs="Times New Roman"/>
          <w:sz w:val="28"/>
          <w:szCs w:val="28"/>
        </w:rPr>
        <w:t>Для расчета уровня информационной эффективности рынка в работе используется метод, сочетающий нахождение энтропии по Шеннону и символьный анализ временных рядов</w:t>
      </w:r>
      <w:r w:rsidRPr="00C92781">
        <w:rPr>
          <w:rFonts w:ascii="Times New Roman" w:eastAsia="Calibri" w:hAnsi="Times New Roman" w:cs="Times New Roman"/>
          <w:sz w:val="28"/>
          <w:szCs w:val="28"/>
          <w:vertAlign w:val="superscript"/>
        </w:rPr>
        <w:footnoteReference w:id="14"/>
      </w:r>
      <w:r w:rsidRPr="00C92781">
        <w:rPr>
          <w:rFonts w:ascii="Times New Roman" w:eastAsia="Calibri" w:hAnsi="Times New Roman" w:cs="Times New Roman"/>
          <w:sz w:val="28"/>
          <w:szCs w:val="28"/>
        </w:rPr>
        <w:t xml:space="preserve">. Согласно данному подходу, предполагается, что рассматриваемый финансовый рынок эффективен, и что вся существующая информация уже отражена в рыночных ценах активов. Поэтому считается, что в условиях сильной формы эффективности рынка нельзя спрогнозировать будущие доходности. Мера эффективности рассчитывается в два этапа: сначала применяется символьный анализ </w:t>
      </w:r>
      <w:r w:rsidRPr="00C92781">
        <w:rPr>
          <w:rFonts w:ascii="Times New Roman" w:eastAsia="Calibri" w:hAnsi="Times New Roman" w:cs="Times New Roman"/>
          <w:sz w:val="28"/>
          <w:szCs w:val="28"/>
        </w:rPr>
        <w:lastRenderedPageBreak/>
        <w:t xml:space="preserve">временного ряда, затем исчисляется энтропия по Шеннону для измерения количества информации, содержащейся в данных. </w:t>
      </w:r>
    </w:p>
    <w:p w:rsidR="00C92781" w:rsidRPr="00C92781" w:rsidRDefault="00C92781" w:rsidP="00C92781">
      <w:pPr>
        <w:spacing w:line="360" w:lineRule="auto"/>
        <w:ind w:firstLine="708"/>
        <w:jc w:val="both"/>
        <w:rPr>
          <w:rFonts w:ascii="Times New Roman" w:eastAsia="Calibri" w:hAnsi="Times New Roman" w:cs="Times New Roman"/>
          <w:sz w:val="28"/>
          <w:szCs w:val="28"/>
        </w:rPr>
      </w:pPr>
      <w:r w:rsidRPr="00C92781">
        <w:rPr>
          <w:rFonts w:ascii="Times New Roman" w:eastAsia="Calibri" w:hAnsi="Times New Roman" w:cs="Times New Roman"/>
          <w:sz w:val="28"/>
          <w:szCs w:val="28"/>
        </w:rPr>
        <w:t xml:space="preserve">В качестве первоначальных данных используются национальные фондовые индексы США и Австралии за одиннадцать лет: </w:t>
      </w:r>
      <w:proofErr w:type="gramStart"/>
      <w:r w:rsidRPr="00C92781">
        <w:rPr>
          <w:rFonts w:ascii="Times New Roman" w:eastAsia="Calibri" w:hAnsi="Times New Roman" w:cs="Times New Roman"/>
          <w:sz w:val="28"/>
          <w:szCs w:val="28"/>
          <w:lang w:val="en-US"/>
        </w:rPr>
        <w:t>S</w:t>
      </w:r>
      <w:r w:rsidRPr="00C92781">
        <w:rPr>
          <w:rFonts w:ascii="Times New Roman" w:eastAsia="Calibri" w:hAnsi="Times New Roman" w:cs="Times New Roman"/>
          <w:sz w:val="28"/>
          <w:szCs w:val="28"/>
        </w:rPr>
        <w:t>&amp;</w:t>
      </w:r>
      <w:r w:rsidRPr="00C92781">
        <w:rPr>
          <w:rFonts w:ascii="Times New Roman" w:eastAsia="Calibri" w:hAnsi="Times New Roman" w:cs="Times New Roman"/>
          <w:sz w:val="28"/>
          <w:szCs w:val="28"/>
          <w:lang w:val="en-US"/>
        </w:rPr>
        <w:t>P</w:t>
      </w:r>
      <w:r w:rsidRPr="00C92781">
        <w:rPr>
          <w:rFonts w:ascii="Times New Roman" w:eastAsia="Calibri" w:hAnsi="Times New Roman" w:cs="Times New Roman"/>
          <w:sz w:val="28"/>
          <w:szCs w:val="28"/>
        </w:rPr>
        <w:t xml:space="preserve"> 500 и </w:t>
      </w:r>
      <w:r w:rsidRPr="00C92781">
        <w:rPr>
          <w:rFonts w:ascii="Times New Roman" w:eastAsia="Calibri" w:hAnsi="Times New Roman" w:cs="Times New Roman"/>
          <w:sz w:val="28"/>
          <w:szCs w:val="28"/>
          <w:lang w:val="en-US"/>
        </w:rPr>
        <w:t>S</w:t>
      </w:r>
      <w:r w:rsidRPr="00C92781">
        <w:rPr>
          <w:rFonts w:ascii="Times New Roman" w:eastAsia="Calibri" w:hAnsi="Times New Roman" w:cs="Times New Roman"/>
          <w:sz w:val="28"/>
          <w:szCs w:val="28"/>
        </w:rPr>
        <w:t>&amp;</w:t>
      </w:r>
      <w:r w:rsidRPr="00C92781">
        <w:rPr>
          <w:rFonts w:ascii="Times New Roman" w:eastAsia="Calibri" w:hAnsi="Times New Roman" w:cs="Times New Roman"/>
          <w:sz w:val="28"/>
          <w:szCs w:val="28"/>
          <w:lang w:val="en-US"/>
        </w:rPr>
        <w:t>P</w:t>
      </w:r>
      <w:r w:rsidRPr="00C92781">
        <w:rPr>
          <w:rFonts w:ascii="Times New Roman" w:eastAsia="Calibri" w:hAnsi="Times New Roman" w:cs="Times New Roman"/>
          <w:sz w:val="28"/>
          <w:szCs w:val="28"/>
        </w:rPr>
        <w:t>/</w:t>
      </w:r>
      <w:r w:rsidRPr="00C92781">
        <w:rPr>
          <w:rFonts w:ascii="Times New Roman" w:eastAsia="Calibri" w:hAnsi="Times New Roman" w:cs="Times New Roman"/>
          <w:sz w:val="28"/>
          <w:szCs w:val="28"/>
          <w:lang w:val="en-US"/>
        </w:rPr>
        <w:t>ASX</w:t>
      </w:r>
      <w:r w:rsidRPr="00C92781">
        <w:rPr>
          <w:rFonts w:ascii="Times New Roman" w:eastAsia="Calibri" w:hAnsi="Times New Roman" w:cs="Times New Roman"/>
          <w:sz w:val="28"/>
          <w:szCs w:val="28"/>
        </w:rPr>
        <w:t xml:space="preserve"> 200 соответственно.</w:t>
      </w:r>
      <w:proofErr w:type="gramEnd"/>
      <w:r w:rsidRPr="00C92781">
        <w:rPr>
          <w:rFonts w:ascii="Times New Roman" w:eastAsia="Calibri" w:hAnsi="Times New Roman" w:cs="Times New Roman"/>
          <w:sz w:val="28"/>
          <w:szCs w:val="28"/>
        </w:rPr>
        <w:t xml:space="preserve"> Для них рассчитываются доходности как логарифмические приросты цен. Символьный анализ подразумевает переход к двум значениям – 0 и 1 – в зависимости от изменения доходности: </w:t>
      </w:r>
    </w:p>
    <w:p w:rsidR="00C92781" w:rsidRPr="00C92781" w:rsidRDefault="00C92781" w:rsidP="00C92781">
      <w:pPr>
        <w:spacing w:line="360" w:lineRule="auto"/>
        <w:ind w:firstLine="708"/>
        <w:jc w:val="both"/>
        <w:rPr>
          <w:rFonts w:ascii="Times New Roman" w:eastAsia="Calibri" w:hAnsi="Times New Roman" w:cs="Times New Roman"/>
          <w:sz w:val="28"/>
          <w:szCs w:val="28"/>
        </w:rPr>
      </w:pPr>
      <m:oMathPara>
        <m:oMath>
          <m:r>
            <w:rPr>
              <w:rFonts w:ascii="Cambria Math" w:eastAsia="Calibri" w:hAnsi="Cambria Math" w:cs="Times New Roman"/>
              <w:sz w:val="28"/>
              <w:szCs w:val="28"/>
            </w:rPr>
            <m:t>if</m:t>
          </m:r>
          <m:d>
            <m:dPr>
              <m:begChr m:val="{"/>
              <m:endChr m:val=""/>
              <m:ctrlPr>
                <w:rPr>
                  <w:rFonts w:ascii="Cambria Math" w:eastAsia="Calibri" w:hAnsi="Cambria Math" w:cs="Times New Roman"/>
                  <w:i/>
                  <w:sz w:val="28"/>
                  <w:szCs w:val="28"/>
                </w:rPr>
              </m:ctrlPr>
            </m:dPr>
            <m:e>
              <m:eqArr>
                <m:eqArrPr>
                  <m:ctrlPr>
                    <w:rPr>
                      <w:rFonts w:ascii="Cambria Math" w:eastAsia="Calibri" w:hAnsi="Cambria Math" w:cs="Times New Roman"/>
                      <w:i/>
                      <w:sz w:val="28"/>
                      <w:szCs w:val="28"/>
                    </w:rPr>
                  </m:ctrlPr>
                </m:eqArr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r</m:t>
                      </m:r>
                    </m:e>
                    <m:sub>
                      <m:r>
                        <w:rPr>
                          <w:rFonts w:ascii="Cambria Math" w:eastAsia="Calibri" w:hAnsi="Cambria Math" w:cs="Times New Roman"/>
                          <w:sz w:val="28"/>
                          <w:szCs w:val="28"/>
                        </w:rPr>
                        <m:t>t</m:t>
                      </m:r>
                    </m:sub>
                  </m:sSub>
                  <m:r>
                    <w:rPr>
                      <w:rFonts w:ascii="Cambria Math" w:eastAsia="Calibri" w:hAnsi="Cambria Math" w:cs="Times New Roman"/>
                      <w:sz w:val="28"/>
                      <w:szCs w:val="28"/>
                    </w:rPr>
                    <m:t xml:space="preserve">&lt;0, </m:t>
                  </m:r>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s</m:t>
                      </m:r>
                    </m:e>
                    <m:sub>
                      <m:r>
                        <w:rPr>
                          <w:rFonts w:ascii="Cambria Math" w:eastAsia="Calibri" w:hAnsi="Cambria Math" w:cs="Times New Roman"/>
                          <w:sz w:val="28"/>
                          <w:szCs w:val="28"/>
                        </w:rPr>
                        <m:t>t</m:t>
                      </m:r>
                    </m:sub>
                  </m:sSub>
                  <m:r>
                    <w:rPr>
                      <w:rFonts w:ascii="Cambria Math" w:eastAsia="Calibri" w:hAnsi="Cambria Math" w:cs="Times New Roman"/>
                      <w:sz w:val="28"/>
                      <w:szCs w:val="28"/>
                    </w:rPr>
                    <m:t>=0,</m:t>
                  </m:r>
                </m:e>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r</m:t>
                      </m:r>
                    </m:e>
                    <m:sub>
                      <m:r>
                        <w:rPr>
                          <w:rFonts w:ascii="Cambria Math" w:eastAsia="Calibri" w:hAnsi="Cambria Math" w:cs="Times New Roman"/>
                          <w:sz w:val="28"/>
                          <w:szCs w:val="28"/>
                        </w:rPr>
                        <m:t>t</m:t>
                      </m:r>
                    </m:sub>
                  </m:sSub>
                  <m:r>
                    <w:rPr>
                      <w:rFonts w:ascii="Cambria Math" w:eastAsia="Calibri" w:hAnsi="Cambria Math" w:cs="Times New Roman"/>
                      <w:sz w:val="28"/>
                      <w:szCs w:val="28"/>
                    </w:rPr>
                    <m:t xml:space="preserve">&gt;0, </m:t>
                  </m:r>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s</m:t>
                      </m:r>
                    </m:e>
                    <m:sub>
                      <m:r>
                        <w:rPr>
                          <w:rFonts w:ascii="Cambria Math" w:eastAsia="Calibri" w:hAnsi="Cambria Math" w:cs="Times New Roman"/>
                          <w:sz w:val="28"/>
                          <w:szCs w:val="28"/>
                        </w:rPr>
                        <m:t>t</m:t>
                      </m:r>
                    </m:sub>
                  </m:sSub>
                  <m:r>
                    <w:rPr>
                      <w:rFonts w:ascii="Cambria Math" w:eastAsia="Calibri" w:hAnsi="Cambria Math" w:cs="Times New Roman"/>
                      <w:sz w:val="28"/>
                      <w:szCs w:val="28"/>
                    </w:rPr>
                    <m:t>=1.</m:t>
                  </m:r>
                </m:e>
              </m:eqArr>
            </m:e>
          </m:d>
          <m:r>
            <w:rPr>
              <w:rFonts w:ascii="Cambria Math" w:eastAsia="Calibri" w:hAnsi="Cambria Math" w:cs="Times New Roman"/>
              <w:sz w:val="28"/>
              <w:szCs w:val="28"/>
            </w:rPr>
            <m:t xml:space="preserve"> </m:t>
          </m:r>
        </m:oMath>
      </m:oMathPara>
    </w:p>
    <w:p w:rsidR="00C92781" w:rsidRPr="00C92781" w:rsidRDefault="00C92781" w:rsidP="00C92781">
      <w:pPr>
        <w:spacing w:line="360" w:lineRule="auto"/>
        <w:jc w:val="both"/>
        <w:rPr>
          <w:rFonts w:ascii="Times New Roman" w:eastAsia="Times New Roman" w:hAnsi="Times New Roman" w:cs="Times New Roman"/>
          <w:sz w:val="28"/>
          <w:szCs w:val="28"/>
        </w:rPr>
      </w:pPr>
      <w:r w:rsidRPr="00C92781">
        <w:rPr>
          <w:rFonts w:ascii="Times New Roman" w:eastAsia="Calibri" w:hAnsi="Times New Roman" w:cs="Times New Roman"/>
          <w:sz w:val="28"/>
          <w:szCs w:val="28"/>
        </w:rPr>
        <w:t xml:space="preserve">При положительном значении доходности записывается 1, в обратном случае – 0. Таким образом, новый ряд данных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s</m:t>
            </m:r>
          </m:e>
          <m:sub>
            <m:r>
              <w:rPr>
                <w:rFonts w:ascii="Cambria Math" w:eastAsia="Calibri" w:hAnsi="Cambria Math" w:cs="Times New Roman"/>
                <w:sz w:val="28"/>
                <w:szCs w:val="28"/>
              </w:rPr>
              <m:t>t</m:t>
            </m:r>
          </m:sub>
        </m:sSub>
      </m:oMath>
      <w:r w:rsidRPr="00C92781">
        <w:rPr>
          <w:rFonts w:ascii="Times New Roman" w:eastAsia="Times New Roman" w:hAnsi="Times New Roman" w:cs="Times New Roman"/>
          <w:sz w:val="28"/>
          <w:szCs w:val="28"/>
        </w:rPr>
        <w:t xml:space="preserve">, состоящий из 0 и 1, отражает падение или рост значения доходности фондового индекса соответственно. </w:t>
      </w:r>
    </w:p>
    <w:p w:rsidR="00C92781" w:rsidRPr="00C92781" w:rsidRDefault="00C92781" w:rsidP="00C92781">
      <w:pPr>
        <w:spacing w:line="360" w:lineRule="auto"/>
        <w:jc w:val="both"/>
        <w:rPr>
          <w:rFonts w:ascii="Times New Roman" w:eastAsia="Times New Roman" w:hAnsi="Times New Roman" w:cs="Times New Roman"/>
          <w:sz w:val="28"/>
          <w:szCs w:val="28"/>
        </w:rPr>
      </w:pPr>
      <w:r w:rsidRPr="00C92781">
        <w:rPr>
          <w:rFonts w:ascii="Times New Roman" w:eastAsia="Times New Roman" w:hAnsi="Times New Roman" w:cs="Times New Roman"/>
          <w:sz w:val="28"/>
          <w:szCs w:val="28"/>
        </w:rPr>
        <w:tab/>
        <w:t xml:space="preserve">После символьного преобразования используется мера неопределенности отдельного процесса – энтропия по Шеннону, которая в данном случае будет отражать меру информационной эффективности рынка. При этом меньшая неопределенность будет соответствовать меньшей энтропии. Другими словами, энтропия по Шеннону достигает свое максимальное значение, равное единице, когда процесс является случайным, в то время как в нуле событие полностью определено. Сопоставляя случайность процессов с гипотезой эффективного рынка, можно заключить, что большая информационная эффективность будет наблюдаться, когда движение цен на финансовом рынке подчинено случайному блужданию, то есть, когда энтропия по Шеннону равна единице. </w:t>
      </w:r>
    </w:p>
    <w:p w:rsidR="00C92781" w:rsidRPr="00C92781" w:rsidRDefault="00C92781" w:rsidP="00C92781">
      <w:pPr>
        <w:spacing w:line="360" w:lineRule="auto"/>
        <w:jc w:val="both"/>
        <w:rPr>
          <w:rFonts w:ascii="Times New Roman" w:eastAsia="Times New Roman" w:hAnsi="Times New Roman" w:cs="Times New Roman"/>
          <w:sz w:val="28"/>
          <w:szCs w:val="28"/>
        </w:rPr>
      </w:pPr>
      <w:r w:rsidRPr="00C92781">
        <w:rPr>
          <w:rFonts w:ascii="Times New Roman" w:eastAsia="Times New Roman" w:hAnsi="Times New Roman" w:cs="Times New Roman"/>
          <w:sz w:val="28"/>
          <w:szCs w:val="28"/>
        </w:rPr>
        <w:tab/>
        <w:t xml:space="preserve">Так как был использован символьный анализ временных рядов, то имеется только два возможных исхода – 0 и 1. В связи с этим стандартную формулу расчета энтропии по Шеннону можно упростить следующим образом: </w:t>
      </w:r>
    </w:p>
    <w:p w:rsidR="00C92781" w:rsidRPr="00C92781" w:rsidRDefault="00C92781" w:rsidP="00C92781">
      <w:pPr>
        <w:spacing w:line="360" w:lineRule="auto"/>
        <w:jc w:val="center"/>
        <w:rPr>
          <w:rFonts w:ascii="Times New Roman" w:eastAsia="Times New Roman" w:hAnsi="Times New Roman" w:cs="Times New Roman"/>
          <w:sz w:val="28"/>
          <w:szCs w:val="28"/>
        </w:rPr>
      </w:pPr>
      <m:oMath>
        <m:r>
          <w:rPr>
            <w:rFonts w:ascii="Cambria Math" w:eastAsia="Times New Roman" w:hAnsi="Cambria Math" w:cs="Times New Roman"/>
            <w:sz w:val="28"/>
            <w:szCs w:val="28"/>
          </w:rPr>
          <m:t>H=-(p</m:t>
        </m:r>
        <m:func>
          <m:funcPr>
            <m:ctrlPr>
              <w:rPr>
                <w:rFonts w:ascii="Cambria Math" w:eastAsia="Times New Roman" w:hAnsi="Cambria Math" w:cs="Times New Roman"/>
                <w:i/>
                <w:sz w:val="28"/>
                <w:szCs w:val="28"/>
              </w:rPr>
            </m:ctrlPr>
          </m:funcPr>
          <m:fName>
            <m:sSub>
              <m:sSubPr>
                <m:ctrlPr>
                  <w:rPr>
                    <w:rFonts w:ascii="Cambria Math" w:eastAsia="Times New Roman" w:hAnsi="Cambria Math" w:cs="Times New Roman"/>
                    <w:i/>
                    <w:sz w:val="28"/>
                    <w:szCs w:val="28"/>
                  </w:rPr>
                </m:ctrlPr>
              </m:sSubPr>
              <m:e>
                <m:r>
                  <m:rPr>
                    <m:sty m:val="p"/>
                  </m:rPr>
                  <w:rPr>
                    <w:rFonts w:ascii="Cambria Math" w:eastAsia="Calibri" w:hAnsi="Cambria Math" w:cs="Times New Roman"/>
                    <w:sz w:val="28"/>
                    <w:szCs w:val="28"/>
                  </w:rPr>
                  <m:t>log</m:t>
                </m:r>
              </m:e>
              <m:sub>
                <m:r>
                  <w:rPr>
                    <w:rFonts w:ascii="Cambria Math" w:eastAsia="Times New Roman" w:hAnsi="Cambria Math" w:cs="Times New Roman"/>
                    <w:sz w:val="28"/>
                    <w:szCs w:val="28"/>
                  </w:rPr>
                  <m:t>2</m:t>
                </m:r>
              </m:sub>
            </m:sSub>
          </m:fName>
          <m:e>
            <m:r>
              <w:rPr>
                <w:rFonts w:ascii="Cambria Math" w:eastAsia="Times New Roman" w:hAnsi="Cambria Math" w:cs="Times New Roman"/>
                <w:sz w:val="28"/>
                <w:szCs w:val="28"/>
              </w:rPr>
              <m:t>p+(1-p)</m:t>
            </m:r>
            <m:func>
              <m:funcPr>
                <m:ctrlPr>
                  <w:rPr>
                    <w:rFonts w:ascii="Cambria Math" w:eastAsia="Times New Roman" w:hAnsi="Cambria Math" w:cs="Times New Roman"/>
                    <w:i/>
                    <w:sz w:val="28"/>
                    <w:szCs w:val="28"/>
                  </w:rPr>
                </m:ctrlPr>
              </m:funcPr>
              <m:fName>
                <m:sSub>
                  <m:sSubPr>
                    <m:ctrlPr>
                      <w:rPr>
                        <w:rFonts w:ascii="Cambria Math" w:eastAsia="Times New Roman" w:hAnsi="Cambria Math" w:cs="Times New Roman"/>
                        <w:i/>
                        <w:sz w:val="28"/>
                        <w:szCs w:val="28"/>
                      </w:rPr>
                    </m:ctrlPr>
                  </m:sSubPr>
                  <m:e>
                    <m:r>
                      <m:rPr>
                        <m:sty m:val="p"/>
                      </m:rPr>
                      <w:rPr>
                        <w:rFonts w:ascii="Cambria Math" w:eastAsia="Calibri" w:hAnsi="Cambria Math" w:cs="Times New Roman"/>
                        <w:sz w:val="28"/>
                        <w:szCs w:val="28"/>
                      </w:rPr>
                      <m:t>log</m:t>
                    </m:r>
                  </m:e>
                  <m:sub>
                    <m:r>
                      <w:rPr>
                        <w:rFonts w:ascii="Cambria Math" w:eastAsia="Times New Roman" w:hAnsi="Cambria Math" w:cs="Times New Roman"/>
                        <w:sz w:val="28"/>
                        <w:szCs w:val="28"/>
                      </w:rPr>
                      <m:t>2</m:t>
                    </m:r>
                  </m:sub>
                </m:sSub>
              </m:fName>
              <m:e>
                <m:r>
                  <w:rPr>
                    <w:rFonts w:ascii="Cambria Math" w:eastAsia="Times New Roman" w:hAnsi="Cambria Math" w:cs="Times New Roman"/>
                    <w:sz w:val="28"/>
                    <w:szCs w:val="28"/>
                  </w:rPr>
                  <m:t>(1-p)</m:t>
                </m:r>
              </m:e>
            </m:func>
          </m:e>
        </m:func>
        <m:r>
          <w:rPr>
            <w:rFonts w:ascii="Cambria Math" w:eastAsia="Times New Roman" w:hAnsi="Cambria Math" w:cs="Times New Roman"/>
            <w:sz w:val="28"/>
            <w:szCs w:val="28"/>
          </w:rPr>
          <m:t>)</m:t>
        </m:r>
      </m:oMath>
      <w:r w:rsidRPr="00C92781">
        <w:rPr>
          <w:rFonts w:ascii="Times New Roman" w:eastAsia="Times New Roman" w:hAnsi="Times New Roman" w:cs="Times New Roman"/>
          <w:sz w:val="28"/>
          <w:szCs w:val="28"/>
        </w:rPr>
        <w:t>.</w:t>
      </w:r>
    </w:p>
    <w:p w:rsidR="00C92781" w:rsidRPr="00C92781" w:rsidRDefault="00C92781" w:rsidP="00C92781">
      <w:pPr>
        <w:spacing w:line="360" w:lineRule="auto"/>
        <w:jc w:val="both"/>
        <w:rPr>
          <w:rFonts w:ascii="Times New Roman" w:eastAsia="Times New Roman" w:hAnsi="Times New Roman" w:cs="Times New Roman"/>
          <w:sz w:val="28"/>
          <w:szCs w:val="28"/>
        </w:rPr>
      </w:pPr>
      <w:r>
        <w:rPr>
          <w:rFonts w:ascii="Calibri" w:eastAsia="Calibri" w:hAnsi="Calibri" w:cs="Times New Roman"/>
          <w:noProof/>
          <w:lang w:eastAsia="ru-RU"/>
        </w:rPr>
        <w:lastRenderedPageBreak/>
        <mc:AlternateContent>
          <mc:Choice Requires="wps">
            <w:drawing>
              <wp:anchor distT="0" distB="0" distL="114300" distR="114300" simplePos="0" relativeHeight="251685888" behindDoc="0" locked="0" layoutInCell="1" allowOverlap="1">
                <wp:simplePos x="0" y="0"/>
                <wp:positionH relativeFrom="column">
                  <wp:posOffset>967740</wp:posOffset>
                </wp:positionH>
                <wp:positionV relativeFrom="paragraph">
                  <wp:posOffset>2870835</wp:posOffset>
                </wp:positionV>
                <wp:extent cx="4024630" cy="361950"/>
                <wp:effectExtent l="0" t="0" r="0" b="0"/>
                <wp:wrapTight wrapText="bothSides">
                  <wp:wrapPolygon edited="0">
                    <wp:start x="0" y="0"/>
                    <wp:lineTo x="0" y="20463"/>
                    <wp:lineTo x="21470" y="20463"/>
                    <wp:lineTo x="21470" y="0"/>
                    <wp:lineTo x="0" y="0"/>
                  </wp:wrapPolygon>
                </wp:wrapTight>
                <wp:docPr id="1059" name="Поле 1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1A44A1" w:rsidRDefault="00DA0396" w:rsidP="00C92781">
                            <w:pPr>
                              <w:pStyle w:val="aa"/>
                              <w:jc w:val="center"/>
                              <w:rPr>
                                <w:rFonts w:ascii="Times New Roman" w:hAnsi="Times New Roman"/>
                                <w:noProof/>
                                <w:color w:val="000000" w:themeColor="text1"/>
                                <w:sz w:val="24"/>
                                <w:szCs w:val="24"/>
                              </w:rPr>
                            </w:pPr>
                            <w:r>
                              <w:rPr>
                                <w:rFonts w:ascii="Times New Roman" w:hAnsi="Times New Roman"/>
                                <w:color w:val="000000" w:themeColor="text1"/>
                                <w:sz w:val="24"/>
                                <w:szCs w:val="24"/>
                              </w:rPr>
                              <w:t>Таблица 4: Результаты оценки</w:t>
                            </w:r>
                            <w:r w:rsidRPr="001A44A1">
                              <w:rPr>
                                <w:rFonts w:ascii="Times New Roman" w:hAnsi="Times New Roman"/>
                                <w:color w:val="000000" w:themeColor="text1"/>
                                <w:sz w:val="24"/>
                                <w:szCs w:val="24"/>
                              </w:rPr>
                              <w:t xml:space="preserve"> энтропии по Шеннону для 11 лет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59" o:spid="_x0000_s1032" type="#_x0000_t202" style="position:absolute;left:0;text-align:left;margin-left:76.2pt;margin-top:226.05pt;width:316.9pt;height: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" stroked="f">
                <v:textbox inset="0,0,0,0">
                  <w:txbxContent>
                    <w:p w:rsidR="00DA0396" w:rsidRPr="001A44A1" w:rsidRDefault="00DA0396" w:rsidP="00C92781">
                      <w:pPr>
                        <w:pStyle w:val="aa"/>
                        <w:jc w:val="center"/>
                        <w:rPr>
                          <w:rFonts w:ascii="Times New Roman" w:hAnsi="Times New Roman"/>
                          <w:noProof/>
                          <w:color w:val="000000" w:themeColor="text1"/>
                          <w:sz w:val="24"/>
                          <w:szCs w:val="24"/>
                        </w:rPr>
                      </w:pPr>
                      <w:r>
                        <w:rPr>
                          <w:rFonts w:ascii="Times New Roman" w:hAnsi="Times New Roman"/>
                          <w:color w:val="000000" w:themeColor="text1"/>
                          <w:sz w:val="24"/>
                          <w:szCs w:val="24"/>
                        </w:rPr>
                        <w:t>Таблица 4: Результаты оценки</w:t>
                      </w:r>
                      <w:r w:rsidRPr="001A44A1">
                        <w:rPr>
                          <w:rFonts w:ascii="Times New Roman" w:hAnsi="Times New Roman"/>
                          <w:color w:val="000000" w:themeColor="text1"/>
                          <w:sz w:val="24"/>
                          <w:szCs w:val="24"/>
                        </w:rPr>
                        <w:t xml:space="preserve"> энтропии по Шеннону для 11 лет</w:t>
                      </w:r>
                    </w:p>
                  </w:txbxContent>
                </v:textbox>
                <w10:wrap type="tight"/>
              </v:shape>
            </w:pict>
          </mc:Fallback>
        </mc:AlternateContent>
      </w:r>
      <w:r w:rsidRPr="00C92781">
        <w:rPr>
          <w:rFonts w:ascii="Times New Roman" w:eastAsia="Times New Roman" w:hAnsi="Times New Roman" w:cs="Times New Roman"/>
          <w:sz w:val="28"/>
          <w:szCs w:val="28"/>
        </w:rPr>
        <w:tab/>
        <w:t xml:space="preserve">В случае двух возможных исходов </w:t>
      </w:r>
      <m:oMath>
        <m:r>
          <w:rPr>
            <w:rFonts w:ascii="Cambria Math" w:eastAsia="Times New Roman" w:hAnsi="Cambria Math" w:cs="Times New Roman"/>
            <w:sz w:val="28"/>
            <w:szCs w:val="28"/>
          </w:rPr>
          <m:t>H</m:t>
        </m:r>
      </m:oMath>
      <w:r w:rsidRPr="00C92781">
        <w:rPr>
          <w:rFonts w:ascii="Times New Roman" w:eastAsia="Times New Roman" w:hAnsi="Times New Roman" w:cs="Times New Roman"/>
          <w:sz w:val="28"/>
          <w:szCs w:val="28"/>
        </w:rPr>
        <w:t xml:space="preserve"> будет представлять вогнутую функцию, максимум которой достигается при </w:t>
      </w:r>
      <m:oMath>
        <m:r>
          <w:rPr>
            <w:rFonts w:ascii="Cambria Math" w:eastAsia="Times New Roman" w:hAnsi="Cambria Math" w:cs="Times New Roman"/>
            <w:sz w:val="28"/>
            <w:szCs w:val="28"/>
          </w:rPr>
          <m:t>p=0,5</m:t>
        </m:r>
      </m:oMath>
      <w:r w:rsidRPr="00C92781">
        <w:rPr>
          <w:rFonts w:ascii="Times New Roman" w:eastAsia="Times New Roman" w:hAnsi="Times New Roman" w:cs="Times New Roman"/>
          <w:sz w:val="28"/>
          <w:szCs w:val="28"/>
        </w:rPr>
        <w:t xml:space="preserve">, а минимумы наблюдаются при  </w:t>
      </w:r>
      <m:oMath>
        <m:r>
          <w:rPr>
            <w:rFonts w:ascii="Cambria Math" w:eastAsia="Times New Roman" w:hAnsi="Cambria Math" w:cs="Times New Roman"/>
            <w:sz w:val="28"/>
            <w:szCs w:val="28"/>
          </w:rPr>
          <m:t>p=0</m:t>
        </m:r>
      </m:oMath>
      <w:r w:rsidRPr="00C92781">
        <w:rPr>
          <w:rFonts w:ascii="Times New Roman" w:eastAsia="Times New Roman" w:hAnsi="Times New Roman" w:cs="Times New Roman"/>
          <w:sz w:val="28"/>
          <w:szCs w:val="28"/>
        </w:rPr>
        <w:t xml:space="preserve"> и </w:t>
      </w:r>
      <m:oMath>
        <m:r>
          <w:rPr>
            <w:rFonts w:ascii="Cambria Math" w:eastAsia="Times New Roman" w:hAnsi="Cambria Math" w:cs="Times New Roman"/>
            <w:sz w:val="28"/>
            <w:szCs w:val="28"/>
          </w:rPr>
          <m:t>p=1</m:t>
        </m:r>
      </m:oMath>
      <w:r w:rsidRPr="00C92781">
        <w:rPr>
          <w:rFonts w:ascii="Times New Roman" w:eastAsia="Times New Roman" w:hAnsi="Times New Roman" w:cs="Times New Roman"/>
          <w:sz w:val="28"/>
          <w:szCs w:val="28"/>
        </w:rPr>
        <w:t xml:space="preserve">. Вероятность повышения цен рассчитывается как отношение количества появлений единиц на рассматриваемом промежутке времени к общей длине взятого промежутка. Для изучения изменения эффективности во времени были использованы несколько скользящих периодов. Расчеты производились для окон, длина которых в днях составляла 5, 10, 15 и 21. Оценка энтропии по Шеннону осуществлялась в среде </w:t>
      </w:r>
      <w:r w:rsidRPr="00C92781">
        <w:rPr>
          <w:rFonts w:ascii="Times New Roman" w:eastAsia="Times New Roman" w:hAnsi="Times New Roman" w:cs="Times New Roman"/>
          <w:sz w:val="28"/>
          <w:szCs w:val="28"/>
          <w:lang w:val="en-US"/>
        </w:rPr>
        <w:t>Mathcad</w:t>
      </w:r>
      <w:r w:rsidRPr="00C92781">
        <w:rPr>
          <w:rFonts w:ascii="Times New Roman" w:eastAsia="Times New Roman" w:hAnsi="Times New Roman" w:cs="Times New Roman"/>
          <w:sz w:val="28"/>
          <w:szCs w:val="28"/>
        </w:rPr>
        <w:t xml:space="preserve"> и представлена в приложении. </w:t>
      </w:r>
    </w:p>
    <w:p w:rsidR="00C92781" w:rsidRPr="00C92781" w:rsidRDefault="00C92781" w:rsidP="00C92781">
      <w:pPr>
        <w:spacing w:line="360" w:lineRule="auto"/>
        <w:jc w:val="both"/>
        <w:rPr>
          <w:rFonts w:ascii="Times New Roman" w:eastAsia="Times New Roman" w:hAnsi="Times New Roman" w:cs="Times New Roman"/>
          <w:sz w:val="28"/>
          <w:szCs w:val="28"/>
        </w:rPr>
      </w:pPr>
    </w:p>
    <w:p w:rsidR="00C92781" w:rsidRPr="00C92781" w:rsidRDefault="00C92781" w:rsidP="00C92781">
      <w:pPr>
        <w:spacing w:line="360" w:lineRule="auto"/>
        <w:jc w:val="both"/>
        <w:rPr>
          <w:rFonts w:ascii="Times New Roman" w:eastAsia="Times New Roman" w:hAnsi="Times New Roman" w:cs="Times New Roman"/>
          <w:sz w:val="28"/>
          <w:szCs w:val="28"/>
        </w:rPr>
      </w:pPr>
      <w:r w:rsidRPr="00C92781">
        <w:rPr>
          <w:rFonts w:ascii="Calibri" w:eastAsia="Calibri" w:hAnsi="Calibri" w:cs="Times New Roman"/>
          <w:noProof/>
          <w:lang w:eastAsia="ru-RU"/>
        </w:rPr>
        <w:drawing>
          <wp:anchor distT="0" distB="0" distL="114300" distR="114300" simplePos="0" relativeHeight="251686912" behindDoc="1" locked="0" layoutInCell="1" allowOverlap="1" wp14:anchorId="1613F597" wp14:editId="16C169B7">
            <wp:simplePos x="0" y="0"/>
            <wp:positionH relativeFrom="column">
              <wp:posOffset>1053465</wp:posOffset>
            </wp:positionH>
            <wp:positionV relativeFrom="paragraph">
              <wp:posOffset>17780</wp:posOffset>
            </wp:positionV>
            <wp:extent cx="3876675" cy="4581525"/>
            <wp:effectExtent l="0" t="0" r="0" b="0"/>
            <wp:wrapTight wrapText="bothSides">
              <wp:wrapPolygon edited="0">
                <wp:start x="0" y="0"/>
                <wp:lineTo x="0" y="21555"/>
                <wp:lineTo x="21547" y="21555"/>
                <wp:lineTo x="21547" y="0"/>
                <wp:lineTo x="0" y="0"/>
              </wp:wrapPolygon>
            </wp:wrapTight>
            <wp:docPr id="1032" name="Рисунок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6675" cy="458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1024890</wp:posOffset>
                </wp:positionH>
                <wp:positionV relativeFrom="paragraph">
                  <wp:posOffset>329565</wp:posOffset>
                </wp:positionV>
                <wp:extent cx="3876675" cy="190500"/>
                <wp:effectExtent l="0" t="0" r="3810" b="3810"/>
                <wp:wrapTight wrapText="bothSides">
                  <wp:wrapPolygon edited="0">
                    <wp:start x="-53" y="0"/>
                    <wp:lineTo x="-53" y="20880"/>
                    <wp:lineTo x="21600" y="20880"/>
                    <wp:lineTo x="21600" y="0"/>
                    <wp:lineTo x="-53" y="0"/>
                  </wp:wrapPolygon>
                </wp:wrapTight>
                <wp:docPr id="1058" name="Поле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1A44A1" w:rsidRDefault="00DA0396" w:rsidP="00C92781">
                            <w:pPr>
                              <w:pStyle w:val="aa"/>
                              <w:jc w:val="right"/>
                              <w:rPr>
                                <w:rFonts w:ascii="Times New Roman" w:hAnsi="Times New Roman"/>
                                <w:noProof/>
                                <w:color w:val="000000" w:themeColor="text1"/>
                                <w:sz w:val="20"/>
                                <w:szCs w:val="20"/>
                              </w:rPr>
                            </w:pPr>
                            <w:r>
                              <w:rPr>
                                <w:rFonts w:ascii="Times New Roman" w:hAnsi="Times New Roman"/>
                                <w:color w:val="000000" w:themeColor="text1"/>
                                <w:sz w:val="20"/>
                                <w:szCs w:val="20"/>
                              </w:rPr>
                              <w:t xml:space="preserve">Источник: собственные расчеты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58" o:spid="_x0000_s1033" type="#_x0000_t202" style="position:absolute;left:0;text-align:left;margin-left:80.7pt;margin-top:25.95pt;width:305.25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" stroked="f">
                <v:textbox inset="0,0,0,0">
                  <w:txbxContent>
                    <w:p w:rsidR="00DA0396" w:rsidRPr="001A44A1" w:rsidRDefault="00DA0396" w:rsidP="00C92781">
                      <w:pPr>
                        <w:pStyle w:val="aa"/>
                        <w:jc w:val="right"/>
                        <w:rPr>
                          <w:rFonts w:ascii="Times New Roman" w:hAnsi="Times New Roman"/>
                          <w:noProof/>
                          <w:color w:val="000000" w:themeColor="text1"/>
                          <w:sz w:val="20"/>
                          <w:szCs w:val="20"/>
                        </w:rPr>
                      </w:pPr>
                      <w:r>
                        <w:rPr>
                          <w:rFonts w:ascii="Times New Roman" w:hAnsi="Times New Roman"/>
                          <w:color w:val="000000" w:themeColor="text1"/>
                          <w:sz w:val="20"/>
                          <w:szCs w:val="20"/>
                        </w:rPr>
                        <w:t xml:space="preserve">Источник: собственные расчеты </w:t>
                      </w:r>
                    </w:p>
                  </w:txbxContent>
                </v:textbox>
                <w10:wrap type="tight"/>
              </v:shape>
            </w:pict>
          </mc:Fallback>
        </mc:AlternateContent>
      </w: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r w:rsidRPr="00C92781">
        <w:rPr>
          <w:rFonts w:ascii="Times New Roman" w:eastAsia="Times New Roman" w:hAnsi="Times New Roman" w:cs="Times New Roman"/>
          <w:sz w:val="28"/>
          <w:szCs w:val="28"/>
        </w:rPr>
        <w:t xml:space="preserve">Полученные результаты для одиннадцати лет представлены в таблице 4. Показатели энтропии рассчитывались на ежедневных котировках, в таблице взято среднее значение для каждого года. За весь рассматриваемый </w:t>
      </w:r>
      <w:r w:rsidRPr="00C92781">
        <w:rPr>
          <w:rFonts w:ascii="Times New Roman" w:eastAsia="Times New Roman" w:hAnsi="Times New Roman" w:cs="Times New Roman"/>
          <w:sz w:val="28"/>
          <w:szCs w:val="28"/>
        </w:rPr>
        <w:lastRenderedPageBreak/>
        <w:t xml:space="preserve">период с 2002 по 2012 года при разных длинах окон значение энтропии не опускалось ниже 0,8. Принимая за сильную степень рыночной эффективности единицу, можно сделать вывод, что её уровень в обеих странах достаточно высокий. Что касается изменения длины плавающего окна, то с его увеличением, показатель эффективности рынка также растет, что продемонстрировано на графиках 5 и 6. Из одиннадцати рассматриваемых лет и четырех видов плавающих окон, более высокий уровень информационной эффективности наблюдается у США в 2004 и 2008 годах (график 5). С 2010 по 2012 года показатели энтропии выше у австралийского индекса (график 6). Оставшиеся шесть лет уровни меняются в зависимости от длины окна, что не позволяет выявить преобладания </w:t>
      </w:r>
      <w:r>
        <w:rPr>
          <w:rFonts w:ascii="Calibri" w:eastAsia="Calibri" w:hAnsi="Calibri" w:cs="Times New Roman"/>
          <w:noProof/>
          <w:lang w:eastAsia="ru-RU"/>
        </w:rPr>
        <mc:AlternateContent>
          <mc:Choice Requires="wps">
            <w:drawing>
              <wp:anchor distT="0" distB="0" distL="114300" distR="114300" simplePos="0" relativeHeight="251688960" behindDoc="0" locked="0" layoutInCell="1" allowOverlap="1">
                <wp:simplePos x="0" y="0"/>
                <wp:positionH relativeFrom="column">
                  <wp:posOffset>733425</wp:posOffset>
                </wp:positionH>
                <wp:positionV relativeFrom="paragraph">
                  <wp:posOffset>3721735</wp:posOffset>
                </wp:positionV>
                <wp:extent cx="4467225" cy="409575"/>
                <wp:effectExtent l="0" t="0" r="9525" b="9525"/>
                <wp:wrapTight wrapText="bothSides">
                  <wp:wrapPolygon edited="0">
                    <wp:start x="0" y="0"/>
                    <wp:lineTo x="0" y="21098"/>
                    <wp:lineTo x="21554" y="21098"/>
                    <wp:lineTo x="21554" y="0"/>
                    <wp:lineTo x="0" y="0"/>
                  </wp:wrapPolygon>
                </wp:wrapTight>
                <wp:docPr id="1057" name="Поле 1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CB58BA" w:rsidRDefault="00DA0396" w:rsidP="00C92781">
                            <w:pPr>
                              <w:pStyle w:val="aa"/>
                              <w:jc w:val="center"/>
                              <w:rPr>
                                <w:rFonts w:ascii="Times New Roman" w:hAnsi="Times New Roman"/>
                                <w:noProof/>
                                <w:color w:val="000000" w:themeColor="text1"/>
                                <w:sz w:val="24"/>
                                <w:szCs w:val="24"/>
                              </w:rPr>
                            </w:pPr>
                            <w:r w:rsidRPr="00CB58BA">
                              <w:rPr>
                                <w:rFonts w:ascii="Times New Roman" w:hAnsi="Times New Roman"/>
                                <w:color w:val="000000" w:themeColor="text1"/>
                                <w:sz w:val="24"/>
                                <w:szCs w:val="24"/>
                              </w:rPr>
                              <w:t>График</w:t>
                            </w:r>
                            <w:r>
                              <w:rPr>
                                <w:rFonts w:ascii="Times New Roman" w:hAnsi="Times New Roman"/>
                                <w:color w:val="000000" w:themeColor="text1"/>
                                <w:sz w:val="24"/>
                                <w:szCs w:val="24"/>
                              </w:rPr>
                              <w:t>и</w:t>
                            </w:r>
                            <w:r w:rsidRPr="00CB58BA">
                              <w:rPr>
                                <w:rFonts w:ascii="Times New Roman" w:hAnsi="Times New Roman"/>
                                <w:color w:val="000000" w:themeColor="text1"/>
                                <w:sz w:val="24"/>
                                <w:szCs w:val="24"/>
                              </w:rPr>
                              <w:t xml:space="preserve"> 5</w:t>
                            </w:r>
                            <w:r>
                              <w:rPr>
                                <w:rFonts w:ascii="Times New Roman" w:hAnsi="Times New Roman"/>
                                <w:color w:val="000000" w:themeColor="text1"/>
                                <w:sz w:val="24"/>
                                <w:szCs w:val="24"/>
                              </w:rPr>
                              <w:t xml:space="preserve"> и 6</w:t>
                            </w:r>
                            <w:r w:rsidRPr="00CB58BA">
                              <w:rPr>
                                <w:rFonts w:ascii="Times New Roman" w:hAnsi="Times New Roman"/>
                                <w:color w:val="000000" w:themeColor="text1"/>
                                <w:sz w:val="24"/>
                                <w:szCs w:val="24"/>
                              </w:rPr>
                              <w:t xml:space="preserve">: Энтропия по Шеннону для фондовых индексов Австралии и США в </w:t>
                            </w:r>
                            <w:r>
                              <w:rPr>
                                <w:rFonts w:ascii="Times New Roman" w:hAnsi="Times New Roman"/>
                                <w:color w:val="000000" w:themeColor="text1"/>
                                <w:sz w:val="24"/>
                                <w:szCs w:val="24"/>
                              </w:rPr>
                              <w:t>2004 и 2012 годах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57" o:spid="_x0000_s1034" type="#_x0000_t202" style="position:absolute;left:0;text-align:left;margin-left:57.75pt;margin-top:293.05pt;width:351.75pt;height:3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" stroked="f">
                <v:textbox inset="0,0,0,0">
                  <w:txbxContent>
                    <w:p w:rsidR="00DA0396" w:rsidRPr="00CB58BA" w:rsidRDefault="00DA0396" w:rsidP="00C92781">
                      <w:pPr>
                        <w:pStyle w:val="aa"/>
                        <w:jc w:val="center"/>
                        <w:rPr>
                          <w:rFonts w:ascii="Times New Roman" w:hAnsi="Times New Roman"/>
                          <w:noProof/>
                          <w:color w:val="000000" w:themeColor="text1"/>
                          <w:sz w:val="24"/>
                          <w:szCs w:val="24"/>
                        </w:rPr>
                      </w:pPr>
                      <w:r w:rsidRPr="00CB58BA">
                        <w:rPr>
                          <w:rFonts w:ascii="Times New Roman" w:hAnsi="Times New Roman"/>
                          <w:color w:val="000000" w:themeColor="text1"/>
                          <w:sz w:val="24"/>
                          <w:szCs w:val="24"/>
                        </w:rPr>
                        <w:t>График</w:t>
                      </w:r>
                      <w:r>
                        <w:rPr>
                          <w:rFonts w:ascii="Times New Roman" w:hAnsi="Times New Roman"/>
                          <w:color w:val="000000" w:themeColor="text1"/>
                          <w:sz w:val="24"/>
                          <w:szCs w:val="24"/>
                        </w:rPr>
                        <w:t>и</w:t>
                      </w:r>
                      <w:r w:rsidRPr="00CB58BA">
                        <w:rPr>
                          <w:rFonts w:ascii="Times New Roman" w:hAnsi="Times New Roman"/>
                          <w:color w:val="000000" w:themeColor="text1"/>
                          <w:sz w:val="24"/>
                          <w:szCs w:val="24"/>
                        </w:rPr>
                        <w:t xml:space="preserve"> 5</w:t>
                      </w:r>
                      <w:r>
                        <w:rPr>
                          <w:rFonts w:ascii="Times New Roman" w:hAnsi="Times New Roman"/>
                          <w:color w:val="000000" w:themeColor="text1"/>
                          <w:sz w:val="24"/>
                          <w:szCs w:val="24"/>
                        </w:rPr>
                        <w:t xml:space="preserve"> и 6</w:t>
                      </w:r>
                      <w:r w:rsidRPr="00CB58BA">
                        <w:rPr>
                          <w:rFonts w:ascii="Times New Roman" w:hAnsi="Times New Roman"/>
                          <w:color w:val="000000" w:themeColor="text1"/>
                          <w:sz w:val="24"/>
                          <w:szCs w:val="24"/>
                        </w:rPr>
                        <w:t xml:space="preserve">: Энтропия по Шеннону для фондовых индексов Австралии и США в </w:t>
                      </w:r>
                      <w:r>
                        <w:rPr>
                          <w:rFonts w:ascii="Times New Roman" w:hAnsi="Times New Roman"/>
                          <w:color w:val="000000" w:themeColor="text1"/>
                          <w:sz w:val="24"/>
                          <w:szCs w:val="24"/>
                        </w:rPr>
                        <w:t>2004 и 2012 годах</w:t>
                      </w:r>
                    </w:p>
                  </w:txbxContent>
                </v:textbox>
                <w10:wrap type="tight"/>
              </v:shape>
            </w:pict>
          </mc:Fallback>
        </mc:AlternateContent>
      </w:r>
      <w:r w:rsidRPr="00C92781">
        <w:rPr>
          <w:rFonts w:ascii="Times New Roman" w:eastAsia="Times New Roman" w:hAnsi="Times New Roman" w:cs="Times New Roman"/>
          <w:sz w:val="28"/>
          <w:szCs w:val="28"/>
        </w:rPr>
        <w:t xml:space="preserve">значений одного индекса над другим. </w:t>
      </w: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r w:rsidRPr="00C92781">
        <w:rPr>
          <w:rFonts w:ascii="Times New Roman" w:eastAsia="Times New Roman" w:hAnsi="Times New Roman" w:cs="Times New Roman"/>
          <w:noProof/>
          <w:sz w:val="28"/>
          <w:szCs w:val="28"/>
          <w:lang w:eastAsia="ru-RU"/>
        </w:rPr>
        <w:drawing>
          <wp:anchor distT="0" distB="0" distL="114300" distR="114300" simplePos="0" relativeHeight="251689984" behindDoc="0" locked="0" layoutInCell="1" allowOverlap="1" wp14:anchorId="15014C61" wp14:editId="6DDBCFDF">
            <wp:simplePos x="0" y="0"/>
            <wp:positionH relativeFrom="column">
              <wp:posOffset>1016635</wp:posOffset>
            </wp:positionH>
            <wp:positionV relativeFrom="paragraph">
              <wp:posOffset>321310</wp:posOffset>
            </wp:positionV>
            <wp:extent cx="3933825" cy="2364105"/>
            <wp:effectExtent l="0" t="0" r="0" b="0"/>
            <wp:wrapSquare wrapText="bothSides"/>
            <wp:docPr id="1033" name="Рисунок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3825" cy="2364105"/>
                    </a:xfrm>
                    <a:prstGeom prst="rect">
                      <a:avLst/>
                    </a:prstGeom>
                    <a:noFill/>
                  </pic:spPr>
                </pic:pic>
              </a:graphicData>
            </a:graphic>
            <wp14:sizeRelH relativeFrom="page">
              <wp14:pctWidth>0</wp14:pctWidth>
            </wp14:sizeRelH>
            <wp14:sizeRelV relativeFrom="page">
              <wp14:pctHeight>0</wp14:pctHeight>
            </wp14:sizeRelV>
          </wp:anchor>
        </w:drawing>
      </w: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r w:rsidRPr="00C92781">
        <w:rPr>
          <w:rFonts w:ascii="Times New Roman" w:eastAsia="Times New Roman" w:hAnsi="Times New Roman" w:cs="Times New Roman"/>
          <w:noProof/>
          <w:sz w:val="28"/>
          <w:szCs w:val="28"/>
          <w:lang w:eastAsia="ru-RU"/>
        </w:rPr>
        <w:drawing>
          <wp:anchor distT="0" distB="0" distL="114300" distR="114300" simplePos="0" relativeHeight="251691008" behindDoc="0" locked="0" layoutInCell="1" allowOverlap="1" wp14:anchorId="24C2856A" wp14:editId="55850075">
            <wp:simplePos x="0" y="0"/>
            <wp:positionH relativeFrom="column">
              <wp:posOffset>1016635</wp:posOffset>
            </wp:positionH>
            <wp:positionV relativeFrom="paragraph">
              <wp:posOffset>204470</wp:posOffset>
            </wp:positionV>
            <wp:extent cx="3940810" cy="2362835"/>
            <wp:effectExtent l="0" t="0" r="0" b="0"/>
            <wp:wrapSquare wrapText="bothSides"/>
            <wp:docPr id="1034" name="Рисунок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0810" cy="2362835"/>
                    </a:xfrm>
                    <a:prstGeom prst="rect">
                      <a:avLst/>
                    </a:prstGeom>
                    <a:noFill/>
                  </pic:spPr>
                </pic:pic>
              </a:graphicData>
            </a:graphic>
            <wp14:sizeRelH relativeFrom="page">
              <wp14:pctWidth>0</wp14:pctWidth>
            </wp14:sizeRelH>
            <wp14:sizeRelV relativeFrom="page">
              <wp14:pctHeight>0</wp14:pctHeight>
            </wp14:sizeRelV>
          </wp:anchor>
        </w:drawing>
      </w: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r>
        <w:rPr>
          <w:rFonts w:ascii="Calibri" w:eastAsia="Calibri" w:hAnsi="Calibri" w:cs="Times New Roman"/>
          <w:noProof/>
          <w:lang w:eastAsia="ru-RU"/>
        </w:rPr>
        <mc:AlternateContent>
          <mc:Choice Requires="wps">
            <w:drawing>
              <wp:anchor distT="0" distB="0" distL="114300" distR="114300" simplePos="0" relativeHeight="251692032" behindDoc="0" locked="0" layoutInCell="1" allowOverlap="1">
                <wp:simplePos x="0" y="0"/>
                <wp:positionH relativeFrom="column">
                  <wp:posOffset>898525</wp:posOffset>
                </wp:positionH>
                <wp:positionV relativeFrom="paragraph">
                  <wp:posOffset>878205</wp:posOffset>
                </wp:positionV>
                <wp:extent cx="4024630" cy="273050"/>
                <wp:effectExtent l="0" t="0" r="0" b="0"/>
                <wp:wrapTopAndBottom/>
                <wp:docPr id="1056" name="Поле 1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667B64" w:rsidRDefault="00DA0396" w:rsidP="00C92781">
                            <w:pPr>
                              <w:pStyle w:val="aa"/>
                              <w:jc w:val="right"/>
                              <w:rPr>
                                <w:rFonts w:ascii="Times New Roman" w:hAnsi="Times New Roman"/>
                                <w:noProof/>
                                <w:color w:val="000000" w:themeColor="text1"/>
                                <w:sz w:val="20"/>
                                <w:szCs w:val="20"/>
                              </w:rPr>
                            </w:pPr>
                            <w:r>
                              <w:rPr>
                                <w:rFonts w:ascii="Times New Roman" w:hAnsi="Times New Roman"/>
                                <w:color w:val="000000" w:themeColor="text1"/>
                                <w:sz w:val="20"/>
                                <w:szCs w:val="20"/>
                              </w:rPr>
                              <w:t xml:space="preserve">Источник: собственные расчеты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056" o:spid="_x0000_s1035" type="#_x0000_t202" style="position:absolute;left:0;text-align:left;margin-left:70.75pt;margin-top:69.15pt;width:316.9pt;height: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" stroked="f">
                <v:textbox style="mso-fit-shape-to-text:t" inset="0,0,0,0">
                  <w:txbxContent>
                    <w:p w:rsidR="00DA0396" w:rsidRPr="00667B64" w:rsidRDefault="00DA0396" w:rsidP="00C92781">
                      <w:pPr>
                        <w:pStyle w:val="aa"/>
                        <w:jc w:val="right"/>
                        <w:rPr>
                          <w:rFonts w:ascii="Times New Roman" w:hAnsi="Times New Roman"/>
                          <w:noProof/>
                          <w:color w:val="000000" w:themeColor="text1"/>
                          <w:sz w:val="20"/>
                          <w:szCs w:val="20"/>
                        </w:rPr>
                      </w:pPr>
                      <w:r>
                        <w:rPr>
                          <w:rFonts w:ascii="Times New Roman" w:hAnsi="Times New Roman"/>
                          <w:color w:val="000000" w:themeColor="text1"/>
                          <w:sz w:val="20"/>
                          <w:szCs w:val="20"/>
                        </w:rPr>
                        <w:t xml:space="preserve">Источник: собственные расчеты </w:t>
                      </w:r>
                    </w:p>
                  </w:txbxContent>
                </v:textbox>
                <w10:wrap type="topAndBottom"/>
              </v:shape>
            </w:pict>
          </mc:Fallback>
        </mc:AlternateContent>
      </w:r>
    </w:p>
    <w:p w:rsidR="00C92781" w:rsidRPr="00C92781" w:rsidRDefault="00C92781" w:rsidP="00C92781">
      <w:pPr>
        <w:spacing w:line="360" w:lineRule="auto"/>
        <w:jc w:val="both"/>
        <w:rPr>
          <w:rFonts w:ascii="Times New Roman" w:eastAsia="Times New Roman" w:hAnsi="Times New Roman" w:cs="Times New Roman"/>
          <w:sz w:val="28"/>
          <w:szCs w:val="28"/>
        </w:rPr>
      </w:pP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r w:rsidRPr="00C92781">
        <w:rPr>
          <w:rFonts w:ascii="Times New Roman" w:eastAsia="Times New Roman" w:hAnsi="Times New Roman" w:cs="Times New Roman"/>
          <w:sz w:val="28"/>
          <w:szCs w:val="28"/>
        </w:rPr>
        <w:lastRenderedPageBreak/>
        <w:t xml:space="preserve">Согласно таблице 4 с 2008 года показатели информационной эффективности США снижаются, тогда как результаты для австралийского фондового индекса стабильны (в 2009 наблюдается увеличение), а в 2012 году заметно возросли. Помимо этого показатели для </w:t>
      </w:r>
      <w:r w:rsidRPr="00C92781">
        <w:rPr>
          <w:rFonts w:ascii="Times New Roman" w:eastAsia="Times New Roman" w:hAnsi="Times New Roman" w:cs="Times New Roman"/>
          <w:sz w:val="28"/>
          <w:szCs w:val="28"/>
          <w:lang w:val="en-US"/>
        </w:rPr>
        <w:t>S</w:t>
      </w:r>
      <w:r w:rsidRPr="00C92781">
        <w:rPr>
          <w:rFonts w:ascii="Times New Roman" w:eastAsia="Times New Roman" w:hAnsi="Times New Roman" w:cs="Times New Roman"/>
          <w:sz w:val="28"/>
          <w:szCs w:val="28"/>
        </w:rPr>
        <w:t>&amp;</w:t>
      </w:r>
      <w:r w:rsidRPr="00C92781">
        <w:rPr>
          <w:rFonts w:ascii="Times New Roman" w:eastAsia="Times New Roman" w:hAnsi="Times New Roman" w:cs="Times New Roman"/>
          <w:sz w:val="28"/>
          <w:szCs w:val="28"/>
          <w:lang w:val="en-US"/>
        </w:rPr>
        <w:t>P</w:t>
      </w:r>
      <w:r w:rsidRPr="00C92781">
        <w:rPr>
          <w:rFonts w:ascii="Times New Roman" w:eastAsia="Times New Roman" w:hAnsi="Times New Roman" w:cs="Times New Roman"/>
          <w:sz w:val="28"/>
          <w:szCs w:val="28"/>
        </w:rPr>
        <w:t>/</w:t>
      </w:r>
      <w:r w:rsidRPr="00C92781">
        <w:rPr>
          <w:rFonts w:ascii="Times New Roman" w:eastAsia="Times New Roman" w:hAnsi="Times New Roman" w:cs="Times New Roman"/>
          <w:sz w:val="28"/>
          <w:szCs w:val="28"/>
          <w:lang w:val="en-US"/>
        </w:rPr>
        <w:t>ASX</w:t>
      </w:r>
      <w:r w:rsidRPr="00C92781">
        <w:rPr>
          <w:rFonts w:ascii="Times New Roman" w:eastAsia="Times New Roman" w:hAnsi="Times New Roman" w:cs="Times New Roman"/>
          <w:sz w:val="28"/>
          <w:szCs w:val="28"/>
        </w:rPr>
        <w:t xml:space="preserve"> 200 превышают значение по </w:t>
      </w:r>
      <w:r w:rsidRPr="00C92781">
        <w:rPr>
          <w:rFonts w:ascii="Times New Roman" w:eastAsia="Times New Roman" w:hAnsi="Times New Roman" w:cs="Times New Roman"/>
          <w:sz w:val="28"/>
          <w:szCs w:val="28"/>
          <w:lang w:val="en-US"/>
        </w:rPr>
        <w:t>S</w:t>
      </w:r>
      <w:r w:rsidRPr="00C92781">
        <w:rPr>
          <w:rFonts w:ascii="Times New Roman" w:eastAsia="Times New Roman" w:hAnsi="Times New Roman" w:cs="Times New Roman"/>
          <w:sz w:val="28"/>
          <w:szCs w:val="28"/>
        </w:rPr>
        <w:t>&amp;</w:t>
      </w:r>
      <w:r w:rsidRPr="00C92781">
        <w:rPr>
          <w:rFonts w:ascii="Times New Roman" w:eastAsia="Times New Roman" w:hAnsi="Times New Roman" w:cs="Times New Roman"/>
          <w:sz w:val="28"/>
          <w:szCs w:val="28"/>
          <w:lang w:val="en-US"/>
        </w:rPr>
        <w:t>P</w:t>
      </w:r>
      <w:r w:rsidRPr="00C92781">
        <w:rPr>
          <w:rFonts w:ascii="Times New Roman" w:eastAsia="Times New Roman" w:hAnsi="Times New Roman" w:cs="Times New Roman"/>
          <w:sz w:val="28"/>
          <w:szCs w:val="28"/>
        </w:rPr>
        <w:t xml:space="preserve"> 500 с 2010 года. Выявленные тенденции могут свидетельствовать о том, что финансовый кризис 2008 года не имел серьезных негативных последствий для финансового рынка Австралии с точки зрения информационной эффективности. Это может быть связано с уникальной системой финансового регулирования страны, включающей </w:t>
      </w:r>
      <w:proofErr w:type="spellStart"/>
      <w:r w:rsidRPr="00C92781">
        <w:rPr>
          <w:rFonts w:ascii="Times New Roman" w:eastAsia="Times New Roman" w:hAnsi="Times New Roman" w:cs="Times New Roman"/>
          <w:sz w:val="28"/>
          <w:szCs w:val="28"/>
        </w:rPr>
        <w:t>пруденциальный</w:t>
      </w:r>
      <w:proofErr w:type="spellEnd"/>
      <w:r w:rsidRPr="00C92781">
        <w:rPr>
          <w:rFonts w:ascii="Times New Roman" w:eastAsia="Times New Roman" w:hAnsi="Times New Roman" w:cs="Times New Roman"/>
          <w:sz w:val="28"/>
          <w:szCs w:val="28"/>
        </w:rPr>
        <w:t xml:space="preserve"> регулятор, и не имеющий в мире аналогов (за исключением Нидерландов). С этой точки зрения вариант чистого саморегулирования США уступает необычной структуре финансового надзора Австралии. </w:t>
      </w: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r w:rsidRPr="00C92781">
        <w:rPr>
          <w:rFonts w:ascii="Times New Roman" w:eastAsia="Times New Roman" w:hAnsi="Times New Roman" w:cs="Times New Roman"/>
          <w:sz w:val="28"/>
          <w:szCs w:val="28"/>
        </w:rPr>
        <w:t xml:space="preserve">Однако сделать однозначный вывод о том, в какой из двух стран уровень эффективности рынка больше, не представляется возможным, так как значения энтропии очень близки и колеблются от 0,8 до 0,95. Помимо этого, за одиннадцать лет ни одна из стран не демонстрировала явного преобладания по рассчитываемому показателю на протяжении большей части периода. Таким образом, можно утверждать, что обе системы регулирования инвариантны, работают приблизительно одинаково, несмотря на разные подходы </w:t>
      </w:r>
      <w:proofErr w:type="gramStart"/>
      <w:r w:rsidRPr="00C92781">
        <w:rPr>
          <w:rFonts w:ascii="Times New Roman" w:eastAsia="Times New Roman" w:hAnsi="Times New Roman" w:cs="Times New Roman"/>
          <w:sz w:val="28"/>
          <w:szCs w:val="28"/>
        </w:rPr>
        <w:t>США</w:t>
      </w:r>
      <w:proofErr w:type="gramEnd"/>
      <w:r w:rsidRPr="00C92781">
        <w:rPr>
          <w:rFonts w:ascii="Times New Roman" w:eastAsia="Times New Roman" w:hAnsi="Times New Roman" w:cs="Times New Roman"/>
          <w:sz w:val="28"/>
          <w:szCs w:val="28"/>
        </w:rPr>
        <w:t xml:space="preserve"> и Австралии к финансовому надзору. Для вынесения решения о превосходстве одной системы регулирования над другой целесообразно рассчитать состояния неэффективности рынка в двух странах еще одним методом и сравнить полученные результаты. </w:t>
      </w:r>
    </w:p>
    <w:p w:rsidR="00C92781" w:rsidRPr="00C92781" w:rsidRDefault="00C92781" w:rsidP="00C92781">
      <w:pPr>
        <w:spacing w:line="360" w:lineRule="auto"/>
        <w:ind w:firstLine="708"/>
        <w:jc w:val="both"/>
        <w:rPr>
          <w:rFonts w:ascii="Times New Roman" w:eastAsia="Calibri" w:hAnsi="Times New Roman" w:cs="Times New Roman"/>
          <w:sz w:val="16"/>
          <w:szCs w:val="16"/>
        </w:rPr>
      </w:pPr>
    </w:p>
    <w:p w:rsidR="00C92781" w:rsidRPr="00C92781" w:rsidRDefault="00C92781" w:rsidP="00C92781">
      <w:pPr>
        <w:spacing w:line="360" w:lineRule="auto"/>
        <w:jc w:val="both"/>
        <w:rPr>
          <w:rFonts w:ascii="Times New Roman" w:eastAsia="Calibri" w:hAnsi="Times New Roman" w:cs="Times New Roman"/>
          <w:b/>
          <w:sz w:val="28"/>
          <w:szCs w:val="28"/>
        </w:rPr>
      </w:pPr>
      <w:r w:rsidRPr="00C92781">
        <w:rPr>
          <w:rFonts w:ascii="Times New Roman" w:eastAsia="Calibri" w:hAnsi="Times New Roman" w:cs="Times New Roman"/>
          <w:b/>
          <w:sz w:val="28"/>
          <w:szCs w:val="28"/>
        </w:rPr>
        <w:t>3.2. Нахождение состояний неэффективности рынка по Кульбаку-Лейблеру</w:t>
      </w:r>
    </w:p>
    <w:p w:rsidR="00C92781" w:rsidRPr="00C92781" w:rsidRDefault="00C92781" w:rsidP="00C92781">
      <w:pPr>
        <w:spacing w:line="360" w:lineRule="auto"/>
        <w:jc w:val="both"/>
        <w:rPr>
          <w:rFonts w:ascii="Times New Roman" w:eastAsia="Calibri" w:hAnsi="Times New Roman" w:cs="Times New Roman"/>
          <w:sz w:val="16"/>
          <w:szCs w:val="16"/>
        </w:rPr>
      </w:pPr>
    </w:p>
    <w:p w:rsidR="00C92781" w:rsidRPr="00C92781" w:rsidRDefault="00C92781" w:rsidP="00C92781">
      <w:pPr>
        <w:spacing w:line="360" w:lineRule="auto"/>
        <w:jc w:val="both"/>
        <w:rPr>
          <w:rFonts w:ascii="Times New Roman" w:eastAsia="Calibri" w:hAnsi="Times New Roman" w:cs="Times New Roman"/>
          <w:sz w:val="28"/>
          <w:szCs w:val="28"/>
        </w:rPr>
      </w:pPr>
      <w:r w:rsidRPr="00C92781">
        <w:rPr>
          <w:rFonts w:ascii="Times New Roman" w:eastAsia="Calibri" w:hAnsi="Times New Roman" w:cs="Times New Roman"/>
          <w:sz w:val="28"/>
          <w:szCs w:val="28"/>
        </w:rPr>
        <w:tab/>
        <w:t xml:space="preserve">Понятие информационно эффективного рынка предполагает, что цены финансовых активов уже включают и полностью отражают всю реально </w:t>
      </w:r>
      <w:r w:rsidRPr="00C92781">
        <w:rPr>
          <w:rFonts w:ascii="Times New Roman" w:eastAsia="Calibri" w:hAnsi="Times New Roman" w:cs="Times New Roman"/>
          <w:sz w:val="28"/>
          <w:szCs w:val="28"/>
        </w:rPr>
        <w:lastRenderedPageBreak/>
        <w:t xml:space="preserve">имеющуюся информацию. В таком состоянии цены подчинены марковскому процессу первого порядка, то есть прошлые значения цены разной степени давности не оказывают влияния на формирование будущих котировок. Согласно гипотезе эффективного рынка, выделяются три степени рыночной эффективности – слабая, средняя и сильная. При этом наиболее эффективный рынок наблюдается в последнем случае, когда стоимость рыночного актива включает не только исторические (прошлые) данные и публично доступную информацию, но и корпоративную (внутреннюю) информацию, открытую некоторому кругу лиц. При сильной форме эффективности на финансовом рынке нет манипулирования ценами активов, отсутствует практика сговора, наблюдается высокая ликвидность, нет возможности осуществления арбитражных операций. При осуществлении этих условий выполняется центральная предельная теорема. Таким образом, сильная форма информационной эффективности рынка может рассматриваться как нормальное распределение вероятностей доходности финансовых активов. </w:t>
      </w:r>
    </w:p>
    <w:p w:rsidR="00C92781" w:rsidRPr="00C92781" w:rsidRDefault="00C92781" w:rsidP="00C92781">
      <w:pPr>
        <w:spacing w:line="360" w:lineRule="auto"/>
        <w:jc w:val="both"/>
        <w:rPr>
          <w:rFonts w:ascii="Times New Roman" w:eastAsia="Calibri" w:hAnsi="Times New Roman" w:cs="Times New Roman"/>
          <w:sz w:val="28"/>
          <w:szCs w:val="28"/>
        </w:rPr>
      </w:pPr>
      <w:r w:rsidRPr="00C92781">
        <w:rPr>
          <w:rFonts w:ascii="Times New Roman" w:eastAsia="Calibri" w:hAnsi="Times New Roman" w:cs="Times New Roman"/>
          <w:sz w:val="28"/>
          <w:szCs w:val="28"/>
        </w:rPr>
        <w:tab/>
      </w:r>
      <w:proofErr w:type="gramStart"/>
      <w:r w:rsidRPr="00C92781">
        <w:rPr>
          <w:rFonts w:ascii="Times New Roman" w:eastAsia="Calibri" w:hAnsi="Times New Roman" w:cs="Times New Roman"/>
          <w:sz w:val="28"/>
          <w:szCs w:val="28"/>
        </w:rPr>
        <w:t>Однако в действительности сильная степень информационной эффективности не наблюдается ни на развитых, ни на развивающихся финансовых рынках.</w:t>
      </w:r>
      <w:proofErr w:type="gramEnd"/>
      <w:r w:rsidRPr="00C92781">
        <w:rPr>
          <w:rFonts w:ascii="Times New Roman" w:eastAsia="Calibri" w:hAnsi="Times New Roman" w:cs="Times New Roman"/>
          <w:sz w:val="28"/>
          <w:szCs w:val="28"/>
        </w:rPr>
        <w:t xml:space="preserve"> В связи с этим необходимо анализировать реакцию рыночных цен на вновь поступающую информацию. В качестве первоначальных данных используется ежедневная выборка австралийского и американского фондовых индексов с 2002 по 2012 года, под доходностью фондового индекса подразумеваются логарифмические приросты цен. Принимая нормальное распределение как показатель сильной эффективности рынка, текущее распределение доходности финансовых активов измеряется как отклонение от нормального распределения. В качестве меры удаленности друг от друга двух распределений, одним из которых является </w:t>
      </w:r>
      <w:proofErr w:type="gramStart"/>
      <w:r w:rsidRPr="00C92781">
        <w:rPr>
          <w:rFonts w:ascii="Times New Roman" w:eastAsia="Calibri" w:hAnsi="Times New Roman" w:cs="Times New Roman"/>
          <w:sz w:val="28"/>
          <w:szCs w:val="28"/>
        </w:rPr>
        <w:t>нормальное</w:t>
      </w:r>
      <w:proofErr w:type="gramEnd"/>
      <w:r w:rsidRPr="00C92781">
        <w:rPr>
          <w:rFonts w:ascii="Times New Roman" w:eastAsia="Calibri" w:hAnsi="Times New Roman" w:cs="Times New Roman"/>
          <w:sz w:val="28"/>
          <w:szCs w:val="28"/>
        </w:rPr>
        <w:t>, используется относительная энтропия по Кульбаку-Лейблеру</w:t>
      </w:r>
      <w:r w:rsidRPr="00C92781">
        <w:rPr>
          <w:rFonts w:ascii="Times New Roman" w:eastAsia="Calibri" w:hAnsi="Times New Roman" w:cs="Times New Roman"/>
          <w:sz w:val="28"/>
          <w:szCs w:val="28"/>
          <w:vertAlign w:val="superscript"/>
        </w:rPr>
        <w:footnoteReference w:id="15"/>
      </w:r>
      <w:r w:rsidRPr="00C92781">
        <w:rPr>
          <w:rFonts w:ascii="Times New Roman" w:eastAsia="Calibri" w:hAnsi="Times New Roman" w:cs="Times New Roman"/>
          <w:sz w:val="28"/>
          <w:szCs w:val="28"/>
        </w:rPr>
        <w:t xml:space="preserve">: </w:t>
      </w:r>
    </w:p>
    <w:p w:rsidR="00C92781" w:rsidRPr="00C92781" w:rsidRDefault="00C92781" w:rsidP="00C92781">
      <w:pPr>
        <w:spacing w:line="360" w:lineRule="auto"/>
        <w:jc w:val="center"/>
        <w:rPr>
          <w:rFonts w:ascii="Times New Roman" w:eastAsia="Calibri" w:hAnsi="Times New Roman" w:cs="Times New Roman"/>
          <w:sz w:val="28"/>
          <w:szCs w:val="28"/>
        </w:rPr>
      </w:pPr>
      <m:oMathPara>
        <m:oMathParaPr>
          <m:jc m:val="center"/>
        </m:oMathParaPr>
        <m:oMath>
          <m:r>
            <w:rPr>
              <w:rFonts w:ascii="Cambria Math" w:eastAsia="Calibri" w:hAnsi="Cambria Math" w:cs="Times New Roman"/>
              <w:sz w:val="28"/>
              <w:szCs w:val="28"/>
            </w:rPr>
            <w:lastRenderedPageBreak/>
            <m:t>KL=</m:t>
          </m:r>
          <m:nary>
            <m:naryPr>
              <m:limLoc m:val="undOvr"/>
              <m:ctrlPr>
                <w:rPr>
                  <w:rFonts w:ascii="Cambria Math" w:eastAsia="Calibri" w:hAnsi="Cambria Math" w:cs="Times New Roman"/>
                  <w:i/>
                  <w:sz w:val="28"/>
                  <w:szCs w:val="28"/>
                </w:rPr>
              </m:ctrlPr>
            </m:naryPr>
            <m:sub>
              <m:r>
                <w:rPr>
                  <w:rFonts w:ascii="Cambria Math" w:eastAsia="Calibri" w:hAnsi="Cambria Math" w:cs="Times New Roman"/>
                  <w:sz w:val="28"/>
                  <w:szCs w:val="28"/>
                </w:rPr>
                <m:t>-∞</m:t>
              </m:r>
            </m:sub>
            <m:sup>
              <m:r>
                <w:rPr>
                  <w:rFonts w:ascii="Cambria Math" w:eastAsia="Calibri" w:hAnsi="Cambria Math" w:cs="Times New Roman"/>
                  <w:sz w:val="28"/>
                  <w:szCs w:val="28"/>
                </w:rPr>
                <m:t>∞</m:t>
              </m:r>
            </m:sup>
            <m:e>
              <m:r>
                <w:rPr>
                  <w:rFonts w:ascii="Cambria Math" w:eastAsia="Calibri" w:hAnsi="Cambria Math" w:cs="Times New Roman"/>
                  <w:sz w:val="28"/>
                  <w:szCs w:val="28"/>
                </w:rPr>
                <m:t>p(x)</m:t>
              </m:r>
              <m:func>
                <m:funcPr>
                  <m:ctrlPr>
                    <w:rPr>
                      <w:rFonts w:ascii="Cambria Math" w:eastAsia="Calibri" w:hAnsi="Cambria Math" w:cs="Times New Roman"/>
                      <w:i/>
                      <w:sz w:val="28"/>
                      <w:szCs w:val="28"/>
                    </w:rPr>
                  </m:ctrlPr>
                </m:funcPr>
                <m:fName>
                  <m:sSub>
                    <m:sSubPr>
                      <m:ctrlPr>
                        <w:rPr>
                          <w:rFonts w:ascii="Cambria Math" w:eastAsia="Calibri" w:hAnsi="Cambria Math" w:cs="Times New Roman"/>
                          <w:i/>
                          <w:sz w:val="28"/>
                          <w:szCs w:val="28"/>
                        </w:rPr>
                      </m:ctrlPr>
                    </m:sSubPr>
                    <m:e>
                      <m:r>
                        <m:rPr>
                          <m:sty m:val="p"/>
                        </m:rPr>
                        <w:rPr>
                          <w:rFonts w:ascii="Cambria Math" w:eastAsia="Calibri" w:hAnsi="Cambria Math" w:cs="Times New Roman"/>
                          <w:sz w:val="28"/>
                          <w:szCs w:val="28"/>
                        </w:rPr>
                        <m:t>log</m:t>
                      </m:r>
                    </m:e>
                    <m:sub>
                      <m:r>
                        <w:rPr>
                          <w:rFonts w:ascii="Cambria Math" w:eastAsia="Calibri" w:hAnsi="Cambria Math" w:cs="Times New Roman"/>
                          <w:sz w:val="28"/>
                          <w:szCs w:val="28"/>
                        </w:rPr>
                        <m:t>2</m:t>
                      </m:r>
                    </m:sub>
                  </m:sSub>
                </m:fName>
                <m:e>
                  <m:f>
                    <m:fPr>
                      <m:ctrlPr>
                        <w:rPr>
                          <w:rFonts w:ascii="Cambria Math" w:eastAsia="Calibri" w:hAnsi="Cambria Math" w:cs="Times New Roman"/>
                          <w:i/>
                          <w:sz w:val="28"/>
                          <w:szCs w:val="28"/>
                        </w:rPr>
                      </m:ctrlPr>
                    </m:fPr>
                    <m:num>
                      <m:r>
                        <w:rPr>
                          <w:rFonts w:ascii="Cambria Math" w:eastAsia="Calibri" w:hAnsi="Cambria Math" w:cs="Times New Roman"/>
                          <w:sz w:val="28"/>
                          <w:szCs w:val="28"/>
                        </w:rPr>
                        <m:t>p(x)</m:t>
                      </m:r>
                    </m:num>
                    <m:den>
                      <m:r>
                        <w:rPr>
                          <w:rFonts w:ascii="Cambria Math" w:eastAsia="Calibri" w:hAnsi="Cambria Math" w:cs="Times New Roman"/>
                          <w:sz w:val="28"/>
                          <w:szCs w:val="28"/>
                        </w:rPr>
                        <m:t>q(x)</m:t>
                      </m:r>
                    </m:den>
                  </m:f>
                </m:e>
              </m:func>
            </m:e>
          </m:nary>
          <m:r>
            <w:rPr>
              <w:rFonts w:ascii="Cambria Math" w:eastAsia="Calibri" w:hAnsi="Cambria Math" w:cs="Times New Roman"/>
              <w:sz w:val="28"/>
              <w:szCs w:val="28"/>
            </w:rPr>
            <m:t>dx+</m:t>
          </m:r>
          <m:nary>
            <m:naryPr>
              <m:limLoc m:val="undOvr"/>
              <m:ctrlPr>
                <w:rPr>
                  <w:rFonts w:ascii="Cambria Math" w:eastAsia="Calibri" w:hAnsi="Cambria Math" w:cs="Times New Roman"/>
                  <w:i/>
                  <w:sz w:val="28"/>
                  <w:szCs w:val="28"/>
                </w:rPr>
              </m:ctrlPr>
            </m:naryPr>
            <m:sub>
              <m:r>
                <w:rPr>
                  <w:rFonts w:ascii="Cambria Math" w:eastAsia="Calibri" w:hAnsi="Cambria Math" w:cs="Times New Roman"/>
                  <w:sz w:val="28"/>
                  <w:szCs w:val="28"/>
                </w:rPr>
                <m:t>-∞</m:t>
              </m:r>
            </m:sub>
            <m:sup>
              <m:r>
                <w:rPr>
                  <w:rFonts w:ascii="Cambria Math" w:eastAsia="Calibri" w:hAnsi="Cambria Math" w:cs="Times New Roman"/>
                  <w:sz w:val="28"/>
                  <w:szCs w:val="28"/>
                </w:rPr>
                <m:t>∞</m:t>
              </m:r>
            </m:sup>
            <m:e>
              <m:r>
                <w:rPr>
                  <w:rFonts w:ascii="Cambria Math" w:eastAsia="Calibri" w:hAnsi="Cambria Math" w:cs="Times New Roman"/>
                  <w:sz w:val="28"/>
                  <w:szCs w:val="28"/>
                </w:rPr>
                <m:t>q(x)</m:t>
              </m:r>
              <m:func>
                <m:funcPr>
                  <m:ctrlPr>
                    <w:rPr>
                      <w:rFonts w:ascii="Cambria Math" w:eastAsia="Calibri" w:hAnsi="Cambria Math" w:cs="Times New Roman"/>
                      <w:i/>
                      <w:sz w:val="28"/>
                      <w:szCs w:val="28"/>
                    </w:rPr>
                  </m:ctrlPr>
                </m:funcPr>
                <m:fName>
                  <m:sSub>
                    <m:sSubPr>
                      <m:ctrlPr>
                        <w:rPr>
                          <w:rFonts w:ascii="Cambria Math" w:eastAsia="Calibri" w:hAnsi="Cambria Math" w:cs="Times New Roman"/>
                          <w:i/>
                          <w:sz w:val="28"/>
                          <w:szCs w:val="28"/>
                        </w:rPr>
                      </m:ctrlPr>
                    </m:sSubPr>
                    <m:e>
                      <m:r>
                        <m:rPr>
                          <m:sty m:val="p"/>
                        </m:rPr>
                        <w:rPr>
                          <w:rFonts w:ascii="Cambria Math" w:eastAsia="Calibri" w:hAnsi="Cambria Math" w:cs="Times New Roman"/>
                          <w:sz w:val="28"/>
                          <w:szCs w:val="28"/>
                        </w:rPr>
                        <m:t>log</m:t>
                      </m:r>
                    </m:e>
                    <m:sub>
                      <m:r>
                        <w:rPr>
                          <w:rFonts w:ascii="Cambria Math" w:eastAsia="Calibri" w:hAnsi="Cambria Math" w:cs="Times New Roman"/>
                          <w:sz w:val="28"/>
                          <w:szCs w:val="28"/>
                        </w:rPr>
                        <m:t>2</m:t>
                      </m:r>
                    </m:sub>
                  </m:sSub>
                </m:fName>
                <m:e>
                  <m:f>
                    <m:fPr>
                      <m:ctrlPr>
                        <w:rPr>
                          <w:rFonts w:ascii="Cambria Math" w:eastAsia="Calibri" w:hAnsi="Cambria Math" w:cs="Times New Roman"/>
                          <w:i/>
                          <w:sz w:val="28"/>
                          <w:szCs w:val="28"/>
                        </w:rPr>
                      </m:ctrlPr>
                    </m:fPr>
                    <m:num>
                      <m:r>
                        <w:rPr>
                          <w:rFonts w:ascii="Cambria Math" w:eastAsia="Calibri" w:hAnsi="Cambria Math" w:cs="Times New Roman"/>
                          <w:sz w:val="28"/>
                          <w:szCs w:val="28"/>
                        </w:rPr>
                        <m:t>q(x)</m:t>
                      </m:r>
                    </m:num>
                    <m:den>
                      <m:r>
                        <w:rPr>
                          <w:rFonts w:ascii="Cambria Math" w:eastAsia="Calibri" w:hAnsi="Cambria Math" w:cs="Times New Roman"/>
                          <w:sz w:val="28"/>
                          <w:szCs w:val="28"/>
                        </w:rPr>
                        <m:t>p(x)</m:t>
                      </m:r>
                    </m:den>
                  </m:f>
                </m:e>
              </m:func>
            </m:e>
          </m:nary>
          <m:r>
            <w:rPr>
              <w:rFonts w:ascii="Cambria Math" w:eastAsia="Calibri" w:hAnsi="Cambria Math" w:cs="Times New Roman"/>
              <w:sz w:val="28"/>
              <w:szCs w:val="28"/>
            </w:rPr>
            <m:t>dx,</m:t>
          </m:r>
        </m:oMath>
      </m:oMathPara>
    </w:p>
    <w:p w:rsidR="00C92781" w:rsidRPr="00C92781" w:rsidRDefault="00C92781" w:rsidP="00C92781">
      <w:pPr>
        <w:spacing w:line="360" w:lineRule="auto"/>
        <w:jc w:val="both"/>
        <w:rPr>
          <w:rFonts w:ascii="Times New Roman" w:eastAsia="Times New Roman" w:hAnsi="Times New Roman" w:cs="Times New Roman"/>
          <w:sz w:val="28"/>
          <w:szCs w:val="28"/>
        </w:rPr>
      </w:pPr>
      <w:r w:rsidRPr="00C92781">
        <w:rPr>
          <w:rFonts w:ascii="Times New Roman" w:eastAsia="Calibri" w:hAnsi="Times New Roman" w:cs="Times New Roman"/>
          <w:sz w:val="28"/>
          <w:szCs w:val="28"/>
        </w:rPr>
        <w:t>где</w:t>
      </w:r>
      <w:proofErr w:type="gramStart"/>
      <w:r w:rsidRPr="00C92781">
        <w:rPr>
          <w:rFonts w:ascii="Times New Roman" w:eastAsia="Calibri" w:hAnsi="Times New Roman" w:cs="Times New Roman"/>
          <w:sz w:val="28"/>
          <w:szCs w:val="28"/>
        </w:rPr>
        <w:t xml:space="preserve"> </w:t>
      </w:r>
      <m:oMath>
        <m:r>
          <w:rPr>
            <w:rFonts w:ascii="Cambria Math" w:eastAsia="Calibri" w:hAnsi="Cambria Math" w:cs="Times New Roman"/>
            <w:sz w:val="28"/>
            <w:szCs w:val="28"/>
          </w:rPr>
          <m:t>p(x)</m:t>
        </m:r>
      </m:oMath>
      <w:r w:rsidRPr="00C92781">
        <w:rPr>
          <w:rFonts w:ascii="Times New Roman" w:eastAsia="Times New Roman" w:hAnsi="Times New Roman" w:cs="Times New Roman"/>
          <w:sz w:val="28"/>
          <w:szCs w:val="28"/>
        </w:rPr>
        <w:t xml:space="preserve"> – </w:t>
      </w:r>
      <w:proofErr w:type="gramEnd"/>
      <w:r w:rsidRPr="00C92781">
        <w:rPr>
          <w:rFonts w:ascii="Times New Roman" w:eastAsia="Times New Roman" w:hAnsi="Times New Roman" w:cs="Times New Roman"/>
          <w:sz w:val="28"/>
          <w:szCs w:val="28"/>
        </w:rPr>
        <w:t xml:space="preserve">оценка текущего распределения доходности фондового индекса, </w:t>
      </w:r>
      <m:oMath>
        <m:r>
          <w:rPr>
            <w:rFonts w:ascii="Cambria Math" w:eastAsia="Calibri" w:hAnsi="Cambria Math" w:cs="Times New Roman"/>
            <w:sz w:val="28"/>
            <w:szCs w:val="28"/>
          </w:rPr>
          <m:t>q(x)</m:t>
        </m:r>
      </m:oMath>
      <w:r w:rsidRPr="00C92781">
        <w:rPr>
          <w:rFonts w:ascii="Times New Roman" w:eastAsia="Times New Roman" w:hAnsi="Times New Roman" w:cs="Times New Roman"/>
          <w:sz w:val="28"/>
          <w:szCs w:val="28"/>
        </w:rPr>
        <w:t xml:space="preserve"> – нормальное распределение, оцененное на основе центральных моментов выборки. </w:t>
      </w: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r w:rsidRPr="00C92781">
        <w:rPr>
          <w:rFonts w:ascii="Times New Roman" w:eastAsia="Times New Roman" w:hAnsi="Times New Roman" w:cs="Times New Roman"/>
          <w:sz w:val="28"/>
          <w:szCs w:val="28"/>
        </w:rPr>
        <w:t xml:space="preserve">Применяя данный метод, получается ряд состояний рынка, по которому можно охарактеризовать его эффективность. В частности, максимальная эффективность рынка достигается при нулевом значении показателя, тогда как удаленность от этого уровня будет свидетельствовать о возрастающей неэффективности на финансовом рынке. </w:t>
      </w: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r w:rsidRPr="00C92781">
        <w:rPr>
          <w:rFonts w:ascii="Times New Roman" w:eastAsia="Times New Roman" w:hAnsi="Times New Roman" w:cs="Times New Roman"/>
          <w:sz w:val="28"/>
          <w:szCs w:val="28"/>
        </w:rPr>
        <w:t xml:space="preserve">Оценка текущего распределения </w:t>
      </w:r>
      <m:oMath>
        <m:r>
          <w:rPr>
            <w:rFonts w:ascii="Cambria Math" w:eastAsia="Calibri" w:hAnsi="Cambria Math" w:cs="Times New Roman"/>
            <w:sz w:val="28"/>
            <w:szCs w:val="28"/>
          </w:rPr>
          <m:t>p</m:t>
        </m:r>
        <m:d>
          <m:dPr>
            <m:ctrlPr>
              <w:rPr>
                <w:rFonts w:ascii="Cambria Math" w:eastAsia="Calibri" w:hAnsi="Cambria Math" w:cs="Times New Roman"/>
                <w:i/>
                <w:sz w:val="28"/>
                <w:szCs w:val="28"/>
              </w:rPr>
            </m:ctrlPr>
          </m:dPr>
          <m:e>
            <m:r>
              <w:rPr>
                <w:rFonts w:ascii="Cambria Math" w:eastAsia="Calibri" w:hAnsi="Cambria Math" w:cs="Times New Roman"/>
                <w:sz w:val="28"/>
                <w:szCs w:val="28"/>
              </w:rPr>
              <m:t>x</m:t>
            </m:r>
          </m:e>
        </m:d>
      </m:oMath>
      <w:r w:rsidRPr="00C92781">
        <w:rPr>
          <w:rFonts w:ascii="Times New Roman" w:eastAsia="Times New Roman" w:hAnsi="Times New Roman" w:cs="Times New Roman"/>
          <w:sz w:val="28"/>
          <w:szCs w:val="28"/>
        </w:rPr>
        <w:t xml:space="preserve"> осуществляется непараметрическим способом измерения функции плотности вероятности случайной величины – методом окон Парцена-Розенблатта</w:t>
      </w:r>
      <w:r w:rsidRPr="00C92781">
        <w:rPr>
          <w:rFonts w:ascii="Times New Roman" w:eastAsia="Times New Roman" w:hAnsi="Times New Roman" w:cs="Times New Roman"/>
          <w:sz w:val="28"/>
          <w:szCs w:val="28"/>
          <w:vertAlign w:val="superscript"/>
        </w:rPr>
        <w:footnoteReference w:id="16"/>
      </w:r>
      <w:r w:rsidRPr="00C92781">
        <w:rPr>
          <w:rFonts w:ascii="Times New Roman" w:eastAsia="Times New Roman" w:hAnsi="Times New Roman" w:cs="Times New Roman"/>
          <w:sz w:val="28"/>
          <w:szCs w:val="28"/>
        </w:rPr>
        <w:t xml:space="preserve">. Данный способ заключается в оценке функции плотности вероятности с помощью ядерной функции. Под ядром подразумевается весовая функция, характеризующая вес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1</m:t>
            </m:r>
          </m:sub>
        </m:sSub>
      </m:oMath>
      <w:r w:rsidRPr="00C92781">
        <w:rPr>
          <w:rFonts w:ascii="Times New Roman" w:eastAsia="Times New Roman" w:hAnsi="Times New Roman" w:cs="Times New Roman"/>
          <w:sz w:val="28"/>
          <w:szCs w:val="28"/>
        </w:rPr>
        <w:t xml:space="preserve"> по отношению к </w:t>
      </w:r>
      <m:oMath>
        <m:r>
          <w:rPr>
            <w:rFonts w:ascii="Cambria Math" w:eastAsia="Times New Roman" w:hAnsi="Cambria Math" w:cs="Times New Roman"/>
            <w:sz w:val="28"/>
            <w:szCs w:val="28"/>
          </w:rPr>
          <m:t>x</m:t>
        </m:r>
      </m:oMath>
      <w:r w:rsidRPr="00C92781">
        <w:rPr>
          <w:rFonts w:ascii="Times New Roman" w:eastAsia="Times New Roman" w:hAnsi="Times New Roman" w:cs="Times New Roman"/>
          <w:sz w:val="28"/>
          <w:szCs w:val="28"/>
        </w:rPr>
        <w:t xml:space="preserve">, что является аналогом меры близости между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1</m:t>
            </m:r>
          </m:sub>
        </m:sSub>
      </m:oMath>
      <w:r w:rsidRPr="00C92781">
        <w:rPr>
          <w:rFonts w:ascii="Times New Roman" w:eastAsia="Times New Roman" w:hAnsi="Times New Roman" w:cs="Times New Roman"/>
          <w:sz w:val="28"/>
          <w:szCs w:val="28"/>
        </w:rPr>
        <w:t xml:space="preserve"> и </w:t>
      </w:r>
      <m:oMath>
        <m:r>
          <w:rPr>
            <w:rFonts w:ascii="Cambria Math" w:eastAsia="Times New Roman" w:hAnsi="Cambria Math" w:cs="Times New Roman"/>
            <w:sz w:val="28"/>
            <w:szCs w:val="28"/>
          </w:rPr>
          <m:t>x</m:t>
        </m:r>
      </m:oMath>
      <w:r w:rsidRPr="00C92781">
        <w:rPr>
          <w:rFonts w:ascii="Times New Roman" w:eastAsia="Times New Roman" w:hAnsi="Times New Roman" w:cs="Times New Roman"/>
          <w:sz w:val="28"/>
          <w:szCs w:val="28"/>
        </w:rPr>
        <w:t xml:space="preserve">. В качестве ядра используется функция нормального распределения. Текущее распределение </w:t>
      </w:r>
      <m:oMath>
        <m:r>
          <w:rPr>
            <w:rFonts w:ascii="Cambria Math" w:eastAsia="Calibri" w:hAnsi="Cambria Math" w:cs="Times New Roman"/>
            <w:sz w:val="28"/>
            <w:szCs w:val="28"/>
          </w:rPr>
          <m:t>p</m:t>
        </m:r>
        <m:d>
          <m:dPr>
            <m:ctrlPr>
              <w:rPr>
                <w:rFonts w:ascii="Cambria Math" w:eastAsia="Calibri" w:hAnsi="Cambria Math" w:cs="Times New Roman"/>
                <w:i/>
                <w:sz w:val="28"/>
                <w:szCs w:val="28"/>
              </w:rPr>
            </m:ctrlPr>
          </m:dPr>
          <m:e>
            <m:r>
              <w:rPr>
                <w:rFonts w:ascii="Cambria Math" w:eastAsia="Calibri" w:hAnsi="Cambria Math" w:cs="Times New Roman"/>
                <w:sz w:val="28"/>
                <w:szCs w:val="28"/>
              </w:rPr>
              <m:t>x</m:t>
            </m:r>
          </m:e>
        </m:d>
      </m:oMath>
      <w:r w:rsidRPr="00C92781">
        <w:rPr>
          <w:rFonts w:ascii="Times New Roman" w:eastAsia="Times New Roman" w:hAnsi="Times New Roman" w:cs="Times New Roman"/>
          <w:sz w:val="28"/>
          <w:szCs w:val="28"/>
        </w:rPr>
        <w:t xml:space="preserve"> оценивается следующим образом: </w:t>
      </w:r>
    </w:p>
    <w:p w:rsidR="00C92781" w:rsidRPr="00C92781" w:rsidRDefault="00C92781" w:rsidP="00C92781">
      <w:pPr>
        <w:spacing w:line="360" w:lineRule="auto"/>
        <w:ind w:firstLine="708"/>
        <w:jc w:val="both"/>
        <w:rPr>
          <w:rFonts w:ascii="Times New Roman" w:eastAsia="Times New Roman" w:hAnsi="Times New Roman" w:cs="Times New Roman"/>
          <w:sz w:val="28"/>
          <w:szCs w:val="28"/>
          <w:lang w:val="en-US"/>
        </w:rPr>
      </w:pPr>
      <m:oMathPara>
        <m:oMath>
          <m:r>
            <w:rPr>
              <w:rFonts w:ascii="Cambria Math" w:eastAsia="Times New Roman" w:hAnsi="Cambria Math" w:cs="Times New Roman"/>
              <w:sz w:val="28"/>
              <w:szCs w:val="28"/>
            </w:rPr>
            <m:t>p</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x</m:t>
              </m:r>
            </m:e>
          </m:d>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n∙h</m:t>
              </m:r>
            </m:den>
          </m:f>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i=1</m:t>
              </m:r>
            </m:sub>
            <m:sup>
              <m:r>
                <w:rPr>
                  <w:rFonts w:ascii="Cambria Math" w:eastAsia="Times New Roman" w:hAnsi="Cambria Math" w:cs="Times New Roman"/>
                  <w:sz w:val="28"/>
                  <w:szCs w:val="28"/>
                </w:rPr>
                <m:t>n</m:t>
              </m:r>
            </m:sup>
            <m:e>
              <m:r>
                <w:rPr>
                  <w:rFonts w:ascii="Cambria Math" w:eastAsia="Times New Roman" w:hAnsi="Cambria Math" w:cs="Times New Roman"/>
                  <w:sz w:val="28"/>
                  <w:szCs w:val="28"/>
                </w:rPr>
                <m:t>K</m:t>
              </m:r>
              <m:d>
                <m:dPr>
                  <m:ctrlPr>
                    <w:rPr>
                      <w:rFonts w:ascii="Cambria Math" w:eastAsia="Times New Roman" w:hAnsi="Cambria Math" w:cs="Times New Roman"/>
                      <w:i/>
                      <w:sz w:val="28"/>
                      <w:szCs w:val="28"/>
                    </w:rPr>
                  </m:ctrlPr>
                </m:dPr>
                <m:e>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i</m:t>
                          </m:r>
                        </m:sub>
                      </m:sSub>
                    </m:num>
                    <m:den>
                      <m:r>
                        <w:rPr>
                          <w:rFonts w:ascii="Cambria Math" w:eastAsia="Times New Roman" w:hAnsi="Cambria Math" w:cs="Times New Roman"/>
                          <w:sz w:val="28"/>
                          <w:szCs w:val="28"/>
                        </w:rPr>
                        <m:t>h</m:t>
                      </m:r>
                    </m:den>
                  </m:f>
                </m:e>
              </m:d>
              <m:r>
                <w:rPr>
                  <w:rFonts w:ascii="Cambria Math" w:eastAsia="Times New Roman" w:hAnsi="Cambria Math" w:cs="Times New Roman"/>
                  <w:sz w:val="28"/>
                  <w:szCs w:val="28"/>
                </w:rPr>
                <m:t>,</m:t>
              </m:r>
            </m:e>
          </m:nary>
        </m:oMath>
      </m:oMathPara>
    </w:p>
    <w:p w:rsidR="00C92781" w:rsidRPr="00C92781" w:rsidRDefault="00C92781" w:rsidP="00C92781">
      <w:pPr>
        <w:spacing w:line="360" w:lineRule="auto"/>
        <w:jc w:val="both"/>
        <w:rPr>
          <w:rFonts w:ascii="Times New Roman" w:eastAsia="Times New Roman" w:hAnsi="Times New Roman" w:cs="Times New Roman"/>
          <w:sz w:val="28"/>
          <w:szCs w:val="28"/>
        </w:rPr>
      </w:pPr>
      <w:r w:rsidRPr="00C92781">
        <w:rPr>
          <w:rFonts w:ascii="Times New Roman" w:eastAsia="Times New Roman" w:hAnsi="Times New Roman" w:cs="Times New Roman"/>
          <w:sz w:val="28"/>
          <w:szCs w:val="28"/>
        </w:rPr>
        <w:t xml:space="preserve">где </w:t>
      </w:r>
      <m:oMath>
        <m:r>
          <w:rPr>
            <w:rFonts w:ascii="Cambria Math" w:eastAsia="Times New Roman" w:hAnsi="Cambria Math" w:cs="Times New Roman"/>
            <w:sz w:val="28"/>
            <w:szCs w:val="28"/>
          </w:rPr>
          <m:t>h</m:t>
        </m:r>
      </m:oMath>
      <w:r w:rsidRPr="00C92781">
        <w:rPr>
          <w:rFonts w:ascii="Times New Roman" w:eastAsia="Times New Roman" w:hAnsi="Times New Roman" w:cs="Times New Roman"/>
          <w:sz w:val="28"/>
          <w:szCs w:val="28"/>
        </w:rPr>
        <w:t xml:space="preserve"> – параметр сглаживания, </w:t>
      </w:r>
      <m:oMath>
        <m:r>
          <w:rPr>
            <w:rFonts w:ascii="Cambria Math" w:eastAsia="Times New Roman" w:hAnsi="Cambria Math" w:cs="Times New Roman"/>
            <w:sz w:val="28"/>
            <w:szCs w:val="28"/>
          </w:rPr>
          <m:t>K</m:t>
        </m:r>
        <m:d>
          <m:dPr>
            <m:ctrlPr>
              <w:rPr>
                <w:rFonts w:ascii="Cambria Math" w:eastAsia="Times New Roman" w:hAnsi="Cambria Math" w:cs="Times New Roman"/>
                <w:i/>
                <w:sz w:val="28"/>
                <w:szCs w:val="28"/>
              </w:rPr>
            </m:ctrlPr>
          </m:dPr>
          <m:e>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i</m:t>
                    </m:r>
                  </m:sub>
                </m:sSub>
              </m:num>
              <m:den>
                <m:r>
                  <w:rPr>
                    <w:rFonts w:ascii="Cambria Math" w:eastAsia="Times New Roman" w:hAnsi="Cambria Math" w:cs="Times New Roman"/>
                    <w:sz w:val="28"/>
                    <w:szCs w:val="28"/>
                  </w:rPr>
                  <m:t>h</m:t>
                </m:r>
              </m:den>
            </m:f>
          </m:e>
        </m:d>
      </m:oMath>
      <w:r w:rsidRPr="00C92781">
        <w:rPr>
          <w:rFonts w:ascii="Times New Roman" w:eastAsia="Times New Roman" w:hAnsi="Times New Roman" w:cs="Times New Roman"/>
          <w:sz w:val="28"/>
          <w:szCs w:val="28"/>
        </w:rPr>
        <w:t xml:space="preserve"> – ядро, </w:t>
      </w:r>
      <m:oMath>
        <m:r>
          <w:rPr>
            <w:rFonts w:ascii="Cambria Math" w:eastAsia="Times New Roman" w:hAnsi="Cambria Math" w:cs="Times New Roman"/>
            <w:sz w:val="28"/>
            <w:szCs w:val="28"/>
          </w:rPr>
          <m:t>n</m:t>
        </m:r>
      </m:oMath>
      <w:r w:rsidRPr="00C92781">
        <w:rPr>
          <w:rFonts w:ascii="Times New Roman" w:eastAsia="Times New Roman" w:hAnsi="Times New Roman" w:cs="Times New Roman"/>
          <w:sz w:val="28"/>
          <w:szCs w:val="28"/>
        </w:rPr>
        <w:t xml:space="preserve"> – длина выборки. При использовании метода окон Парцена-Розенблатта особое внимание уделяется выбору параметра сглаживания </w:t>
      </w:r>
      <m:oMath>
        <m:r>
          <w:rPr>
            <w:rFonts w:ascii="Cambria Math" w:eastAsia="Times New Roman" w:hAnsi="Cambria Math" w:cs="Times New Roman"/>
            <w:sz w:val="28"/>
            <w:szCs w:val="28"/>
          </w:rPr>
          <m:t>h</m:t>
        </m:r>
      </m:oMath>
      <w:r w:rsidRPr="00C92781">
        <w:rPr>
          <w:rFonts w:ascii="Times New Roman" w:eastAsia="Times New Roman" w:hAnsi="Times New Roman" w:cs="Times New Roman"/>
          <w:sz w:val="28"/>
          <w:szCs w:val="28"/>
        </w:rPr>
        <w:t xml:space="preserve">. При малом значении параметра, кривая стремится пройти через каждую точку выборки, в результате чего наблюдаются резкие скачки и сильная реакция на шумы. Однако при </w:t>
      </w:r>
      <w:r w:rsidRPr="00C92781">
        <w:rPr>
          <w:rFonts w:ascii="Times New Roman" w:eastAsia="Times New Roman" w:hAnsi="Times New Roman" w:cs="Times New Roman"/>
          <w:sz w:val="28"/>
          <w:szCs w:val="28"/>
        </w:rPr>
        <w:lastRenderedPageBreak/>
        <w:t xml:space="preserve">слишком большом уровне </w:t>
      </w:r>
      <m:oMath>
        <m:r>
          <w:rPr>
            <w:rFonts w:ascii="Cambria Math" w:eastAsia="Times New Roman" w:hAnsi="Cambria Math" w:cs="Times New Roman"/>
            <w:sz w:val="28"/>
            <w:szCs w:val="28"/>
          </w:rPr>
          <m:t>h</m:t>
        </m:r>
      </m:oMath>
      <w:r w:rsidRPr="00C92781">
        <w:rPr>
          <w:rFonts w:ascii="Times New Roman" w:eastAsia="Times New Roman" w:hAnsi="Times New Roman" w:cs="Times New Roman"/>
          <w:sz w:val="28"/>
          <w:szCs w:val="28"/>
        </w:rPr>
        <w:t xml:space="preserve"> происходит чрезмерное сглаживание функции, что затрудняет объяснение особенностей анализируемой выборки. В связи с этим параметр сглаживания рассчитывается исходя из максимизации функции правдоподобия перекрестной проверки</w:t>
      </w:r>
      <w:r w:rsidRPr="00C92781">
        <w:rPr>
          <w:rFonts w:ascii="Times New Roman" w:eastAsia="Times New Roman" w:hAnsi="Times New Roman" w:cs="Times New Roman"/>
          <w:sz w:val="28"/>
          <w:szCs w:val="28"/>
          <w:vertAlign w:val="superscript"/>
        </w:rPr>
        <w:footnoteReference w:id="17"/>
      </w:r>
      <w:r w:rsidRPr="00C92781">
        <w:rPr>
          <w:rFonts w:ascii="Times New Roman" w:eastAsia="Times New Roman" w:hAnsi="Times New Roman" w:cs="Times New Roman"/>
          <w:sz w:val="28"/>
          <w:szCs w:val="28"/>
        </w:rPr>
        <w:t>:</w:t>
      </w:r>
    </w:p>
    <w:p w:rsidR="00C92781" w:rsidRPr="00C92781" w:rsidRDefault="00C92781" w:rsidP="00C92781">
      <w:pPr>
        <w:spacing w:line="360" w:lineRule="auto"/>
        <w:jc w:val="both"/>
        <w:rPr>
          <w:rFonts w:ascii="Times New Roman" w:eastAsia="Times New Roman" w:hAnsi="Times New Roman" w:cs="Times New Roman"/>
          <w:sz w:val="28"/>
          <w:szCs w:val="28"/>
          <w:lang w:val="en-US"/>
        </w:rPr>
      </w:pPr>
      <m:oMathPara>
        <m:oMathParaPr>
          <m:jc m:val="center"/>
        </m:oMathParaPr>
        <m:oMath>
          <m:r>
            <w:rPr>
              <w:rFonts w:ascii="Cambria Math" w:eastAsia="Times New Roman" w:hAnsi="Cambria Math" w:cs="Times New Roman"/>
              <w:sz w:val="28"/>
              <w:szCs w:val="28"/>
            </w:rPr>
            <m:t>MLCV</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h</m:t>
              </m:r>
            </m:e>
          </m:d>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n</m:t>
              </m:r>
            </m:den>
          </m:f>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i=1</m:t>
              </m:r>
            </m:sub>
            <m:sup>
              <m:r>
                <w:rPr>
                  <w:rFonts w:ascii="Cambria Math" w:eastAsia="Times New Roman" w:hAnsi="Cambria Math" w:cs="Times New Roman"/>
                  <w:sz w:val="28"/>
                  <w:szCs w:val="28"/>
                </w:rPr>
                <m:t>n</m:t>
              </m:r>
            </m:sup>
            <m:e>
              <m:func>
                <m:funcPr>
                  <m:ctrlPr>
                    <w:rPr>
                      <w:rFonts w:ascii="Cambria Math" w:eastAsia="Times New Roman" w:hAnsi="Cambria Math" w:cs="Times New Roman"/>
                      <w:i/>
                      <w:sz w:val="28"/>
                      <w:szCs w:val="28"/>
                    </w:rPr>
                  </m:ctrlPr>
                </m:funcPr>
                <m:fName>
                  <m:r>
                    <m:rPr>
                      <m:sty m:val="p"/>
                    </m:rPr>
                    <w:rPr>
                      <w:rFonts w:ascii="Cambria Math" w:eastAsia="Calibri" w:hAnsi="Cambria Math" w:cs="Times New Roman"/>
                      <w:sz w:val="28"/>
                      <w:szCs w:val="28"/>
                    </w:rPr>
                    <m:t>ln</m:t>
                  </m:r>
                </m:fName>
                <m:e>
                  <m:d>
                    <m:dPr>
                      <m:ctrlPr>
                        <w:rPr>
                          <w:rFonts w:ascii="Cambria Math" w:eastAsia="Times New Roman" w:hAnsi="Cambria Math" w:cs="Times New Roman"/>
                          <w:i/>
                          <w:sz w:val="28"/>
                          <w:szCs w:val="28"/>
                        </w:rPr>
                      </m:ctrlPr>
                    </m:dPr>
                    <m:e>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n-1</m:t>
                              </m:r>
                            </m:e>
                          </m:d>
                          <m:r>
                            <w:rPr>
                              <w:rFonts w:ascii="Cambria Math" w:eastAsia="Times New Roman" w:hAnsi="Cambria Math" w:cs="Times New Roman"/>
                              <w:sz w:val="28"/>
                              <w:szCs w:val="28"/>
                            </w:rPr>
                            <m:t>∙h</m:t>
                          </m:r>
                        </m:den>
                      </m:f>
                      <m:nary>
                        <m:naryPr>
                          <m:chr m:val="∑"/>
                          <m:limLoc m:val="undOvr"/>
                          <m:supHide m:val="1"/>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j≠i</m:t>
                          </m:r>
                        </m:sub>
                        <m:sup/>
                        <m:e>
                          <m:r>
                            <w:rPr>
                              <w:rFonts w:ascii="Cambria Math" w:eastAsia="Times New Roman" w:hAnsi="Cambria Math" w:cs="Times New Roman"/>
                              <w:sz w:val="28"/>
                              <w:szCs w:val="28"/>
                            </w:rPr>
                            <m:t>K</m:t>
                          </m:r>
                          <m:d>
                            <m:dPr>
                              <m:ctrlPr>
                                <w:rPr>
                                  <w:rFonts w:ascii="Cambria Math" w:eastAsia="Times New Roman" w:hAnsi="Cambria Math" w:cs="Times New Roman"/>
                                  <w:i/>
                                  <w:sz w:val="28"/>
                                  <w:szCs w:val="28"/>
                                </w:rPr>
                              </m:ctrlPr>
                            </m:dPr>
                            <m:e>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i</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j</m:t>
                                      </m:r>
                                    </m:sub>
                                  </m:sSub>
                                </m:num>
                                <m:den>
                                  <m:r>
                                    <w:rPr>
                                      <w:rFonts w:ascii="Cambria Math" w:eastAsia="Times New Roman" w:hAnsi="Cambria Math" w:cs="Times New Roman"/>
                                      <w:sz w:val="28"/>
                                      <w:szCs w:val="28"/>
                                    </w:rPr>
                                    <m:t>h</m:t>
                                  </m:r>
                                </m:den>
                              </m:f>
                            </m:e>
                          </m:d>
                        </m:e>
                      </m:nary>
                    </m:e>
                  </m:d>
                  <m:r>
                    <w:rPr>
                      <w:rFonts w:ascii="Cambria Math" w:eastAsia="Times New Roman" w:hAnsi="Cambria Math" w:cs="Times New Roman"/>
                      <w:sz w:val="28"/>
                      <w:szCs w:val="28"/>
                    </w:rPr>
                    <m:t>,</m:t>
                  </m:r>
                </m:e>
              </m:func>
            </m:e>
          </m:nary>
        </m:oMath>
      </m:oMathPara>
    </w:p>
    <w:p w:rsidR="00C92781" w:rsidRPr="00C92781" w:rsidRDefault="00FB1D00" w:rsidP="00C92781">
      <w:pPr>
        <w:spacing w:line="360" w:lineRule="auto"/>
        <w:jc w:val="center"/>
        <w:rPr>
          <w:rFonts w:ascii="Times New Roman" w:eastAsia="Times New Roman" w:hAnsi="Times New Roman" w:cs="Times New Roman"/>
          <w:sz w:val="28"/>
          <w:szCs w:val="28"/>
          <w:lang w:val="en-US"/>
        </w:rPr>
      </w:pPr>
      <m:oMathPara>
        <m:oMathParaPr>
          <m:jc m:val="center"/>
        </m:oMathPara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h</m:t>
              </m:r>
            </m:e>
            <m:sub>
              <m:r>
                <w:rPr>
                  <w:rFonts w:ascii="Cambria Math" w:eastAsia="Times New Roman" w:hAnsi="Cambria Math" w:cs="Times New Roman"/>
                  <w:sz w:val="28"/>
                  <w:szCs w:val="28"/>
                  <w:lang w:val="en-US"/>
                </w:rPr>
                <m:t>MLCV</m:t>
              </m:r>
            </m:sub>
          </m:sSub>
          <m:r>
            <w:rPr>
              <w:rFonts w:ascii="Cambria Math" w:eastAsia="Times New Roman" w:hAnsi="Cambria Math" w:cs="Times New Roman"/>
              <w:sz w:val="28"/>
              <w:szCs w:val="28"/>
              <w:lang w:val="en-US"/>
            </w:rPr>
            <m:t>=</m:t>
          </m:r>
          <m:sSub>
            <m:sSubPr>
              <m:ctrlPr>
                <w:rPr>
                  <w:rFonts w:ascii="Cambria Math" w:eastAsia="Times New Roman" w:hAnsi="Cambria Math" w:cs="Times New Roman"/>
                  <w:sz w:val="28"/>
                  <w:szCs w:val="28"/>
                  <w:lang w:val="en-US"/>
                </w:rPr>
              </m:ctrlPr>
            </m:sSubPr>
            <m:e>
              <m:r>
                <m:rPr>
                  <m:sty m:val="p"/>
                </m:rPr>
                <w:rPr>
                  <w:rFonts w:ascii="Cambria Math" w:eastAsia="Times New Roman" w:hAnsi="Cambria Math" w:cs="Times New Roman"/>
                  <w:sz w:val="28"/>
                  <w:szCs w:val="28"/>
                  <w:lang w:val="en-US"/>
                </w:rPr>
                <m:t>argmax</m:t>
              </m:r>
            </m:e>
            <m:sub>
              <m:r>
                <w:rPr>
                  <w:rFonts w:ascii="Cambria Math" w:eastAsia="Times New Roman" w:hAnsi="Cambria Math" w:cs="Times New Roman"/>
                  <w:sz w:val="28"/>
                  <w:szCs w:val="28"/>
                  <w:lang w:val="en-US"/>
                </w:rPr>
                <m:t>h</m:t>
              </m:r>
            </m:sub>
          </m:sSub>
          <m:r>
            <w:rPr>
              <w:rFonts w:ascii="Cambria Math" w:eastAsia="Times New Roman" w:hAnsi="Cambria Math" w:cs="Times New Roman"/>
              <w:sz w:val="28"/>
              <w:szCs w:val="28"/>
              <w:lang w:val="en-US"/>
            </w:rPr>
            <m:t xml:space="preserve"> MLCV</m:t>
          </m:r>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h</m:t>
              </m:r>
            </m:e>
          </m:d>
          <m:r>
            <w:rPr>
              <w:rFonts w:ascii="Cambria Math" w:eastAsia="Times New Roman" w:hAnsi="Cambria Math" w:cs="Times New Roman"/>
              <w:sz w:val="28"/>
              <w:szCs w:val="28"/>
              <w:lang w:val="en-US"/>
            </w:rPr>
            <m:t>.</m:t>
          </m:r>
        </m:oMath>
      </m:oMathPara>
    </w:p>
    <w:p w:rsidR="00C92781" w:rsidRPr="00C92781" w:rsidRDefault="00C92781" w:rsidP="00C92781">
      <w:pPr>
        <w:spacing w:line="360" w:lineRule="auto"/>
        <w:jc w:val="both"/>
        <w:rPr>
          <w:rFonts w:ascii="Times New Roman" w:eastAsia="Calibri" w:hAnsi="Times New Roman" w:cs="Times New Roman"/>
          <w:sz w:val="28"/>
          <w:szCs w:val="28"/>
        </w:rPr>
      </w:pPr>
      <w:r w:rsidRPr="00C92781">
        <w:rPr>
          <w:rFonts w:ascii="Times New Roman" w:eastAsia="Calibri" w:hAnsi="Times New Roman" w:cs="Times New Roman"/>
          <w:sz w:val="28"/>
          <w:szCs w:val="28"/>
          <w:lang w:val="en-US"/>
        </w:rPr>
        <w:tab/>
      </w:r>
      <w:r w:rsidRPr="00C92781">
        <w:rPr>
          <w:rFonts w:ascii="Times New Roman" w:eastAsia="Calibri" w:hAnsi="Times New Roman" w:cs="Times New Roman"/>
          <w:sz w:val="28"/>
          <w:szCs w:val="28"/>
        </w:rPr>
        <w:t xml:space="preserve">Применив обозначенные методы к австралийскому индексу </w:t>
      </w:r>
      <w:r w:rsidRPr="00C92781">
        <w:rPr>
          <w:rFonts w:ascii="Times New Roman" w:eastAsia="Calibri" w:hAnsi="Times New Roman" w:cs="Times New Roman"/>
          <w:sz w:val="28"/>
          <w:szCs w:val="28"/>
          <w:lang w:val="en-US"/>
        </w:rPr>
        <w:t>S</w:t>
      </w:r>
      <w:r w:rsidRPr="00C92781">
        <w:rPr>
          <w:rFonts w:ascii="Times New Roman" w:eastAsia="Calibri" w:hAnsi="Times New Roman" w:cs="Times New Roman"/>
          <w:sz w:val="28"/>
          <w:szCs w:val="28"/>
        </w:rPr>
        <w:t>&amp;</w:t>
      </w:r>
      <w:r w:rsidRPr="00C92781">
        <w:rPr>
          <w:rFonts w:ascii="Times New Roman" w:eastAsia="Calibri" w:hAnsi="Times New Roman" w:cs="Times New Roman"/>
          <w:sz w:val="28"/>
          <w:szCs w:val="28"/>
          <w:lang w:val="en-US"/>
        </w:rPr>
        <w:t>P</w:t>
      </w:r>
      <w:r w:rsidRPr="00C92781">
        <w:rPr>
          <w:rFonts w:ascii="Times New Roman" w:eastAsia="Calibri" w:hAnsi="Times New Roman" w:cs="Times New Roman"/>
          <w:sz w:val="28"/>
          <w:szCs w:val="28"/>
        </w:rPr>
        <w:t>/</w:t>
      </w:r>
      <w:r w:rsidRPr="00C92781">
        <w:rPr>
          <w:rFonts w:ascii="Times New Roman" w:eastAsia="Calibri" w:hAnsi="Times New Roman" w:cs="Times New Roman"/>
          <w:sz w:val="28"/>
          <w:szCs w:val="28"/>
          <w:lang w:val="en-US"/>
        </w:rPr>
        <w:t>ASX</w:t>
      </w:r>
      <w:r w:rsidRPr="00C92781">
        <w:rPr>
          <w:rFonts w:ascii="Times New Roman" w:eastAsia="Calibri" w:hAnsi="Times New Roman" w:cs="Times New Roman"/>
          <w:sz w:val="28"/>
          <w:szCs w:val="28"/>
        </w:rPr>
        <w:t xml:space="preserve"> 200 и к американскому </w:t>
      </w:r>
      <w:r w:rsidRPr="00C92781">
        <w:rPr>
          <w:rFonts w:ascii="Times New Roman" w:eastAsia="Calibri" w:hAnsi="Times New Roman" w:cs="Times New Roman"/>
          <w:sz w:val="28"/>
          <w:szCs w:val="28"/>
          <w:lang w:val="en-US"/>
        </w:rPr>
        <w:t>S</w:t>
      </w:r>
      <w:r w:rsidRPr="00C92781">
        <w:rPr>
          <w:rFonts w:ascii="Times New Roman" w:eastAsia="Calibri" w:hAnsi="Times New Roman" w:cs="Times New Roman"/>
          <w:sz w:val="28"/>
          <w:szCs w:val="28"/>
        </w:rPr>
        <w:t>&amp;</w:t>
      </w:r>
      <w:r w:rsidRPr="00C92781">
        <w:rPr>
          <w:rFonts w:ascii="Times New Roman" w:eastAsia="Calibri" w:hAnsi="Times New Roman" w:cs="Times New Roman"/>
          <w:sz w:val="28"/>
          <w:szCs w:val="28"/>
          <w:lang w:val="en-US"/>
        </w:rPr>
        <w:t>P</w:t>
      </w:r>
      <w:r w:rsidRPr="00C92781">
        <w:rPr>
          <w:rFonts w:ascii="Times New Roman" w:eastAsia="Calibri" w:hAnsi="Times New Roman" w:cs="Times New Roman"/>
          <w:sz w:val="28"/>
          <w:szCs w:val="28"/>
        </w:rPr>
        <w:t xml:space="preserve"> 500, были получены ряды состояний неэффективности рынка (</w:t>
      </w:r>
      <w:r w:rsidRPr="00C92781">
        <w:rPr>
          <w:rFonts w:ascii="Times New Roman" w:eastAsia="Times New Roman" w:hAnsi="Times New Roman" w:cs="Times New Roman"/>
          <w:sz w:val="28"/>
          <w:szCs w:val="28"/>
        </w:rPr>
        <w:t xml:space="preserve">вычисления выполнены в среде </w:t>
      </w:r>
      <w:r w:rsidRPr="00C92781">
        <w:rPr>
          <w:rFonts w:ascii="Times New Roman" w:eastAsia="Times New Roman" w:hAnsi="Times New Roman" w:cs="Times New Roman"/>
          <w:sz w:val="28"/>
          <w:szCs w:val="28"/>
          <w:lang w:val="en-US"/>
        </w:rPr>
        <w:t>Mathcad</w:t>
      </w:r>
      <w:r w:rsidRPr="00C92781">
        <w:rPr>
          <w:rFonts w:ascii="Times New Roman" w:eastAsia="Times New Roman" w:hAnsi="Times New Roman" w:cs="Times New Roman"/>
          <w:sz w:val="28"/>
          <w:szCs w:val="28"/>
        </w:rPr>
        <w:t xml:space="preserve"> и представлены в приложении</w:t>
      </w:r>
      <w:r w:rsidRPr="00C92781">
        <w:rPr>
          <w:rFonts w:ascii="Times New Roman" w:eastAsia="Calibri" w:hAnsi="Times New Roman" w:cs="Times New Roman"/>
          <w:sz w:val="28"/>
          <w:szCs w:val="28"/>
        </w:rPr>
        <w:t>). Однако в них присутствовали нехарактерные значения – выбросы. Как отмечалось ранее, это может быть связано со слишком маленьким показателем параметра сглаживания, который учитывает аномальные для выборки, единичные значения. Ввиду этого, дополнительно задавалась минимальная величина параметра сглаживания (0,35), введение которой разрешило недостатки предыдущих расчетов.</w:t>
      </w:r>
    </w:p>
    <w:p w:rsidR="00C92781" w:rsidRPr="00C92781" w:rsidRDefault="00C92781" w:rsidP="00C92781">
      <w:pPr>
        <w:spacing w:line="360" w:lineRule="auto"/>
        <w:jc w:val="both"/>
        <w:rPr>
          <w:rFonts w:ascii="Times New Roman" w:eastAsia="Calibri" w:hAnsi="Times New Roman" w:cs="Times New Roman"/>
          <w:sz w:val="28"/>
          <w:szCs w:val="28"/>
        </w:rPr>
      </w:pPr>
      <w:r w:rsidRPr="00C92781">
        <w:rPr>
          <w:rFonts w:ascii="Times New Roman" w:eastAsia="Calibri" w:hAnsi="Times New Roman" w:cs="Times New Roman"/>
          <w:sz w:val="28"/>
          <w:szCs w:val="28"/>
        </w:rPr>
        <w:tab/>
        <w:t xml:space="preserve">К полученным рядам данных применялся двухвыборочный </w:t>
      </w:r>
      <w:r w:rsidRPr="00C92781">
        <w:rPr>
          <w:rFonts w:ascii="Times New Roman" w:eastAsia="Calibri" w:hAnsi="Times New Roman" w:cs="Times New Roman"/>
          <w:sz w:val="28"/>
          <w:szCs w:val="28"/>
          <w:lang w:val="en-US"/>
        </w:rPr>
        <w:t>t</w:t>
      </w:r>
      <w:r w:rsidRPr="00C92781">
        <w:rPr>
          <w:rFonts w:ascii="Times New Roman" w:eastAsia="Calibri" w:hAnsi="Times New Roman" w:cs="Times New Roman"/>
          <w:sz w:val="28"/>
          <w:szCs w:val="28"/>
        </w:rPr>
        <w:t xml:space="preserve">-критерий для независимых выборок для проверки гипотезы о равенстве математических ожиданий. На 1% уровне значимости гипотеза не отвергается, что свидетельствует о высокой сопоставимости уровней информационной эффективности в двух странах, несмотря на разные подходы к регулированию финансового рынка. Анализ средних эмпирических минимальных и максимальных значений состояний неэффективности рынка по каждому году не выявил сильных различий в рассматриваемых уровнях: средние минимальные значения практически </w:t>
      </w:r>
      <w:r w:rsidRPr="00C92781">
        <w:rPr>
          <w:rFonts w:ascii="Times New Roman" w:eastAsia="Calibri" w:hAnsi="Times New Roman" w:cs="Times New Roman"/>
          <w:sz w:val="28"/>
          <w:szCs w:val="28"/>
        </w:rPr>
        <w:lastRenderedPageBreak/>
        <w:t xml:space="preserve">одинаковые (около 0,22), средние максимальные значения отличаются во втором знаке после запятой (от 1,60 до 1,64). Таким образом, второй метод подтверждает инвариантность двух систем регулирования с точки зрения информационной эффективности. Результативность разнонаправленных систем – высокой независимости саморегулируемых организаций в США и активного сотрудничества двух суверенных регуляторов с биржами в Австралии – примерно одинакова. Для более глубокого анализа систем финансового надзора двух стран следует оценить поведение профессиональных участников рынка с помощью выявления индивидуальных структур предпочтений. </w:t>
      </w:r>
    </w:p>
    <w:p w:rsidR="00C92781" w:rsidRPr="00C92781" w:rsidRDefault="00C92781" w:rsidP="00C92781">
      <w:pPr>
        <w:spacing w:line="360" w:lineRule="auto"/>
        <w:jc w:val="both"/>
        <w:rPr>
          <w:rFonts w:ascii="Times New Roman" w:eastAsia="Calibri" w:hAnsi="Times New Roman" w:cs="Times New Roman"/>
          <w:sz w:val="28"/>
          <w:szCs w:val="28"/>
        </w:rPr>
      </w:pPr>
    </w:p>
    <w:p w:rsidR="00C92781" w:rsidRPr="00C92781" w:rsidRDefault="00C92781" w:rsidP="00C92781">
      <w:pPr>
        <w:spacing w:line="360" w:lineRule="auto"/>
        <w:jc w:val="both"/>
        <w:rPr>
          <w:rFonts w:ascii="Times New Roman" w:eastAsia="Times New Roman" w:hAnsi="Times New Roman" w:cs="Times New Roman"/>
          <w:b/>
          <w:sz w:val="28"/>
          <w:szCs w:val="28"/>
        </w:rPr>
      </w:pPr>
      <w:r w:rsidRPr="00C92781">
        <w:rPr>
          <w:rFonts w:ascii="Times New Roman" w:eastAsia="Times New Roman" w:hAnsi="Times New Roman" w:cs="Times New Roman"/>
          <w:b/>
          <w:sz w:val="28"/>
          <w:szCs w:val="28"/>
        </w:rPr>
        <w:t>3.3. Выявление структуры индивидуальных предпочтений профучастников</w:t>
      </w:r>
    </w:p>
    <w:p w:rsidR="00C92781" w:rsidRPr="00C92781" w:rsidRDefault="00C92781" w:rsidP="00C92781">
      <w:pPr>
        <w:spacing w:line="360" w:lineRule="auto"/>
        <w:jc w:val="both"/>
        <w:rPr>
          <w:rFonts w:ascii="Times New Roman" w:eastAsia="Times New Roman" w:hAnsi="Times New Roman" w:cs="Times New Roman"/>
          <w:sz w:val="28"/>
          <w:szCs w:val="28"/>
        </w:rPr>
      </w:pP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r w:rsidRPr="00C92781">
        <w:rPr>
          <w:rFonts w:ascii="Times New Roman" w:eastAsia="Times New Roman" w:hAnsi="Times New Roman" w:cs="Times New Roman"/>
          <w:sz w:val="28"/>
          <w:szCs w:val="28"/>
        </w:rPr>
        <w:t xml:space="preserve">Для анализа особенностей поведения профучастников на австралийском рынке необходимо найти индивидуальные предпочтения профессиональных участников, являющихся членами саморегулируемых организаций, в отношении неэффективности рынка. Искомые предпочтения могут быть использованы для определения глубины конфликта интересов в саморегулируемой организации. Коммерческие интересы профучастников заключаются в максимизации стоимости собственных портфелей, тогда как регулятивные интересы организации направлены на повышение эффективности финансового рынка. Очевидно, что на практике желание максимизировать стоимости портфелей может не совпадать с целями организации по регулированию рынка. О наличии конфликта интересов будет свидетельствовать ситуация, когда профучастники предпочтут зарабатывать на неэффективном рынке. </w:t>
      </w: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r w:rsidRPr="00C92781">
        <w:rPr>
          <w:rFonts w:ascii="Times New Roman" w:eastAsia="Times New Roman" w:hAnsi="Times New Roman" w:cs="Times New Roman"/>
          <w:sz w:val="28"/>
          <w:szCs w:val="28"/>
        </w:rPr>
        <w:lastRenderedPageBreak/>
        <w:t xml:space="preserve">Для расчетов используются данные финансового рынка Австралии с 2002 по 2010 года. Уровни неэффективности рынка рассчитаны во 2 части данной главы на ежедневной выборке фондового индекса </w:t>
      </w:r>
      <w:r w:rsidRPr="00C92781">
        <w:rPr>
          <w:rFonts w:ascii="Times New Roman" w:eastAsia="Times New Roman" w:hAnsi="Times New Roman" w:cs="Times New Roman"/>
          <w:sz w:val="28"/>
          <w:szCs w:val="28"/>
          <w:lang w:val="en-US"/>
        </w:rPr>
        <w:t>S</w:t>
      </w:r>
      <w:r w:rsidRPr="00C92781">
        <w:rPr>
          <w:rFonts w:ascii="Times New Roman" w:eastAsia="Times New Roman" w:hAnsi="Times New Roman" w:cs="Times New Roman"/>
          <w:sz w:val="28"/>
          <w:szCs w:val="28"/>
        </w:rPr>
        <w:t>&amp;</w:t>
      </w:r>
      <w:r w:rsidRPr="00C92781">
        <w:rPr>
          <w:rFonts w:ascii="Times New Roman" w:eastAsia="Times New Roman" w:hAnsi="Times New Roman" w:cs="Times New Roman"/>
          <w:sz w:val="28"/>
          <w:szCs w:val="28"/>
          <w:lang w:val="en-US"/>
        </w:rPr>
        <w:t>P</w:t>
      </w:r>
      <w:r w:rsidRPr="00C92781">
        <w:rPr>
          <w:rFonts w:ascii="Times New Roman" w:eastAsia="Times New Roman" w:hAnsi="Times New Roman" w:cs="Times New Roman"/>
          <w:sz w:val="28"/>
          <w:szCs w:val="28"/>
        </w:rPr>
        <w:t>/</w:t>
      </w:r>
      <w:r w:rsidRPr="00C92781">
        <w:rPr>
          <w:rFonts w:ascii="Times New Roman" w:eastAsia="Times New Roman" w:hAnsi="Times New Roman" w:cs="Times New Roman"/>
          <w:sz w:val="28"/>
          <w:szCs w:val="28"/>
          <w:lang w:val="en-US"/>
        </w:rPr>
        <w:t>ASX</w:t>
      </w:r>
      <w:r w:rsidRPr="00C92781">
        <w:rPr>
          <w:rFonts w:ascii="Times New Roman" w:eastAsia="Times New Roman" w:hAnsi="Times New Roman" w:cs="Times New Roman"/>
          <w:sz w:val="28"/>
          <w:szCs w:val="28"/>
        </w:rPr>
        <w:t xml:space="preserve"> 200. В качестве данных по профучастникам используется база по открытым фондам, территориально расположенным в Австралии. Из этой базы были отобраны фонды, которые находятся под управлением профессиональных участников, являющихся членами австралийской фондовой биржи на протяжении исследуемого периода времени. В случае управления одним участником несколькими фондами, выбирался фонд с наибольшей стоимостью чистых активов. В результате было отобрано 35 фондов. </w:t>
      </w: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r w:rsidRPr="00C92781">
        <w:rPr>
          <w:rFonts w:ascii="Times New Roman" w:eastAsia="Times New Roman" w:hAnsi="Times New Roman" w:cs="Times New Roman"/>
          <w:sz w:val="28"/>
          <w:szCs w:val="28"/>
        </w:rPr>
        <w:t>Индивидуальная структура предпочтений профучастников выявляется при помощи максимизации их функций полезности. Предпочтения каждого профучастника задаются из предположения о его рациональности. Предполагая, что функция полезности профучастника монотонно возрастает на всей области определения, можно свести задачу максимизации функции полезности к максимизации накопленной стоимости портфеля под управлением профучастника</w:t>
      </w:r>
      <w:r w:rsidRPr="00C92781">
        <w:rPr>
          <w:rFonts w:ascii="Times New Roman" w:eastAsia="Times New Roman" w:hAnsi="Times New Roman" w:cs="Times New Roman"/>
          <w:sz w:val="28"/>
          <w:szCs w:val="28"/>
          <w:vertAlign w:val="superscript"/>
        </w:rPr>
        <w:footnoteReference w:id="18"/>
      </w:r>
      <w:r w:rsidRPr="00C92781">
        <w:rPr>
          <w:rFonts w:ascii="Times New Roman" w:eastAsia="Times New Roman" w:hAnsi="Times New Roman" w:cs="Times New Roman"/>
          <w:sz w:val="28"/>
          <w:szCs w:val="28"/>
        </w:rPr>
        <w:t xml:space="preserve">. Таким образом, структура предпочтений профучастников будет соотноситься с состояниями информационной неэффективности рынка, рассчитанной как относительная энтропия по Кульбаку-Лейблеру. Следуя данному методу, можно узнать, какой тип рынка предпочитают профучастники, и какова глубина конфликта интересов в Австралии. </w:t>
      </w: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r w:rsidRPr="00C92781">
        <w:rPr>
          <w:rFonts w:ascii="Times New Roman" w:eastAsia="Times New Roman" w:hAnsi="Times New Roman" w:cs="Times New Roman"/>
          <w:sz w:val="28"/>
          <w:szCs w:val="28"/>
        </w:rPr>
        <w:t xml:space="preserve">Максимальная стоимость портфеля для профучастников находится в рамках каждого года. Одному торговому дню соответствует значение относительной энтропии, а также 35 значений стоимостей портфелей фондов, по которым высчитываются средние логарифмические доходности на скользящем базисном периоде длиной в одну торговую неделю. Таким </w:t>
      </w:r>
      <w:r w:rsidRPr="00C92781">
        <w:rPr>
          <w:rFonts w:ascii="Times New Roman" w:eastAsia="Times New Roman" w:hAnsi="Times New Roman" w:cs="Times New Roman"/>
          <w:sz w:val="28"/>
          <w:szCs w:val="28"/>
        </w:rPr>
        <w:lastRenderedPageBreak/>
        <w:t xml:space="preserve">способом получается один ряд с состояниями неэффективности рынка, а также 35 рядов ожидаемых доходностей. Временные ряды разбиваются на девять периодов в соответствии с рассматриваемыми годами – с 2002 по 2010. В рамках каждого года </w:t>
      </w:r>
      <w:proofErr w:type="gramStart"/>
      <w:r w:rsidRPr="00C92781">
        <w:rPr>
          <w:rFonts w:ascii="Times New Roman" w:eastAsia="Times New Roman" w:hAnsi="Times New Roman" w:cs="Times New Roman"/>
          <w:sz w:val="28"/>
          <w:szCs w:val="28"/>
        </w:rPr>
        <w:t>отдельный</w:t>
      </w:r>
      <w:proofErr w:type="gramEnd"/>
      <w:r w:rsidRPr="00C92781">
        <w:rPr>
          <w:rFonts w:ascii="Times New Roman" w:eastAsia="Times New Roman" w:hAnsi="Times New Roman" w:cs="Times New Roman"/>
          <w:sz w:val="28"/>
          <w:szCs w:val="28"/>
        </w:rPr>
        <w:t xml:space="preserve"> профучастник может получать разную доходность. Так как все профучастники рациональны, то предполагается, что они заинтересованы только в максимальной доходности их портфелей. То есть в течение одного года у профучастника существует неопределенный интервал времени, когда доходность его портфеля максимальна. Нижней и верхней границам этого промежутка соответствуют состояния неэффективности рынка, которые и характеризуют предпочтения данного профучастника. Обобщенный метод выявления предпочтений одного профучастника представлен на схеме 7. Рассмотрим подробнее его этапы. </w:t>
      </w: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r w:rsidRPr="00C92781">
        <w:rPr>
          <w:rFonts w:ascii="Times New Roman" w:eastAsia="Times New Roman" w:hAnsi="Times New Roman" w:cs="Times New Roman"/>
          <w:sz w:val="28"/>
          <w:szCs w:val="28"/>
        </w:rPr>
        <w:t xml:space="preserve">Для нахождения границ интервалов </w:t>
      </w:r>
      <m:oMath>
        <m:r>
          <w:rPr>
            <w:rFonts w:ascii="Cambria Math" w:eastAsia="Times New Roman" w:hAnsi="Cambria Math" w:cs="Times New Roman"/>
            <w:sz w:val="28"/>
            <w:szCs w:val="28"/>
          </w:rPr>
          <m:t>a</m:t>
        </m:r>
      </m:oMath>
      <w:r w:rsidRPr="00C92781">
        <w:rPr>
          <w:rFonts w:ascii="Times New Roman" w:eastAsia="Times New Roman" w:hAnsi="Times New Roman" w:cs="Times New Roman"/>
          <w:sz w:val="28"/>
          <w:szCs w:val="28"/>
        </w:rPr>
        <w:t xml:space="preserve"> и </w:t>
      </w:r>
      <m:oMath>
        <m:r>
          <w:rPr>
            <w:rFonts w:ascii="Cambria Math" w:eastAsia="Times New Roman" w:hAnsi="Cambria Math" w:cs="Times New Roman"/>
            <w:sz w:val="28"/>
            <w:szCs w:val="28"/>
          </w:rPr>
          <m:t>b</m:t>
        </m:r>
      </m:oMath>
      <w:r w:rsidRPr="00C92781">
        <w:rPr>
          <w:rFonts w:ascii="Times New Roman" w:eastAsia="Times New Roman" w:hAnsi="Times New Roman" w:cs="Times New Roman"/>
          <w:sz w:val="28"/>
          <w:szCs w:val="28"/>
        </w:rPr>
        <w:t xml:space="preserve">, в которых профучастники получают максимальную доходность за год, строится матрица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D</m:t>
            </m:r>
          </m:e>
          <m:sub>
            <m:r>
              <w:rPr>
                <w:rFonts w:ascii="Cambria Math" w:eastAsia="Times New Roman" w:hAnsi="Cambria Math" w:cs="Times New Roman"/>
                <w:sz w:val="28"/>
                <w:szCs w:val="28"/>
              </w:rPr>
              <m:t>y</m:t>
            </m:r>
          </m:sub>
        </m:sSub>
      </m:oMath>
      <w:r w:rsidRPr="00C92781">
        <w:rPr>
          <w:rFonts w:ascii="Times New Roman" w:eastAsia="Times New Roman" w:hAnsi="Times New Roman" w:cs="Times New Roman"/>
          <w:sz w:val="28"/>
          <w:szCs w:val="28"/>
        </w:rPr>
        <w:t xml:space="preserve">, состоящая из одного столбца состояний неэффективности рынка и 35 столбцов ожидаемых доходностей всех профучастников (индекс </w:t>
      </w:r>
      <m:oMath>
        <m:r>
          <w:rPr>
            <w:rFonts w:ascii="Cambria Math" w:eastAsia="Times New Roman" w:hAnsi="Cambria Math" w:cs="Times New Roman"/>
            <w:sz w:val="28"/>
            <w:szCs w:val="28"/>
          </w:rPr>
          <m:t>y</m:t>
        </m:r>
      </m:oMath>
      <w:r w:rsidRPr="00C92781">
        <w:rPr>
          <w:rFonts w:ascii="Times New Roman" w:eastAsia="Times New Roman" w:hAnsi="Times New Roman" w:cs="Times New Roman"/>
          <w:sz w:val="28"/>
          <w:szCs w:val="28"/>
        </w:rPr>
        <w:t xml:space="preserve"> обозначает номер года). После этого значения в матрице сортируются по первому столбцу состояний неэффективности по возрастанию – от локального минимального значения неэффективности </w:t>
      </w:r>
      <w:proofErr w:type="gramStart"/>
      <w:r w:rsidRPr="00C92781">
        <w:rPr>
          <w:rFonts w:ascii="Times New Roman" w:eastAsia="Times New Roman" w:hAnsi="Times New Roman" w:cs="Times New Roman"/>
          <w:sz w:val="28"/>
          <w:szCs w:val="28"/>
        </w:rPr>
        <w:t>к</w:t>
      </w:r>
      <w:proofErr w:type="gramEnd"/>
      <w:r w:rsidRPr="00C92781">
        <w:rPr>
          <w:rFonts w:ascii="Times New Roman" w:eastAsia="Times New Roman" w:hAnsi="Times New Roman" w:cs="Times New Roman"/>
          <w:sz w:val="28"/>
          <w:szCs w:val="28"/>
        </w:rPr>
        <w:t xml:space="preserve"> максимальному. Получается новая матрица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Ds</m:t>
            </m:r>
          </m:e>
          <m:sub>
            <m:r>
              <w:rPr>
                <w:rFonts w:ascii="Cambria Math" w:eastAsia="Times New Roman" w:hAnsi="Cambria Math" w:cs="Times New Roman"/>
                <w:sz w:val="28"/>
                <w:szCs w:val="28"/>
              </w:rPr>
              <m:t>y</m:t>
            </m:r>
          </m:sub>
        </m:sSub>
      </m:oMath>
      <w:r w:rsidRPr="00C92781">
        <w:rPr>
          <w:rFonts w:ascii="Times New Roman" w:eastAsia="Times New Roman" w:hAnsi="Times New Roman" w:cs="Times New Roman"/>
          <w:sz w:val="28"/>
          <w:szCs w:val="28"/>
        </w:rPr>
        <w:t xml:space="preserve">. Далее задается функция накопленной за год максимальной доходности для каждого профучастника и функция стоимости портфеля профучастника: </w:t>
      </w:r>
    </w:p>
    <w:p w:rsidR="00C92781" w:rsidRPr="00C92781" w:rsidRDefault="00C92781" w:rsidP="00C92781">
      <w:pPr>
        <w:spacing w:line="360" w:lineRule="auto"/>
        <w:ind w:firstLine="708"/>
        <w:jc w:val="center"/>
        <w:rPr>
          <w:rFonts w:ascii="Times New Roman" w:eastAsia="Times New Roman" w:hAnsi="Times New Roman" w:cs="Times New Roman"/>
          <w:sz w:val="28"/>
          <w:szCs w:val="28"/>
          <w:lang w:val="en-US"/>
        </w:rPr>
      </w:pPr>
      <m:oMathPara>
        <m:oMathParaPr>
          <m:jc m:val="center"/>
        </m:oMathParaPr>
        <m:oMath>
          <m:r>
            <w:rPr>
              <w:rFonts w:ascii="Cambria Math" w:eastAsia="Times New Roman" w:hAnsi="Cambria Math" w:cs="Times New Roman"/>
              <w:sz w:val="28"/>
              <w:szCs w:val="28"/>
              <w:lang w:val="en-US"/>
            </w:rPr>
            <m:t>Rs</m:t>
          </m:r>
          <m:r>
            <w:rPr>
              <w:rFonts w:ascii="Cambria Math" w:eastAsia="Times New Roman" w:hAnsi="Cambria Math" w:cs="Times New Roman"/>
              <w:sz w:val="28"/>
              <w:szCs w:val="28"/>
            </w:rPr>
            <m:t>=</m:t>
          </m:r>
          <m:nary>
            <m:naryPr>
              <m:chr m:val="∑"/>
              <m:limLoc m:val="undOvr"/>
              <m:ctrlPr>
                <w:rPr>
                  <w:rFonts w:ascii="Cambria Math" w:eastAsia="Times New Roman" w:hAnsi="Cambria Math" w:cs="Times New Roman"/>
                  <w:i/>
                  <w:sz w:val="28"/>
                  <w:szCs w:val="28"/>
                  <w:lang w:val="en-US"/>
                </w:rPr>
              </m:ctrlPr>
            </m:naryPr>
            <m:sub>
              <m:r>
                <w:rPr>
                  <w:rFonts w:ascii="Cambria Math" w:eastAsia="Times New Roman" w:hAnsi="Cambria Math" w:cs="Times New Roman"/>
                  <w:sz w:val="28"/>
                  <w:szCs w:val="28"/>
                  <w:lang w:val="en-US"/>
                </w:rPr>
                <m:t>m</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a</m:t>
              </m:r>
            </m:sub>
            <m:sup>
              <m:r>
                <w:rPr>
                  <w:rFonts w:ascii="Cambria Math" w:eastAsia="Times New Roman" w:hAnsi="Cambria Math" w:cs="Times New Roman"/>
                  <w:sz w:val="28"/>
                  <w:szCs w:val="28"/>
                  <w:lang w:val="en-US"/>
                </w:rPr>
                <m:t>a</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b</m:t>
              </m:r>
            </m:sup>
            <m:e>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Ds</m:t>
                      </m:r>
                    </m:e>
                    <m:sub>
                      <m:r>
                        <w:rPr>
                          <w:rFonts w:ascii="Cambria Math" w:eastAsia="Times New Roman" w:hAnsi="Cambria Math" w:cs="Times New Roman"/>
                          <w:sz w:val="28"/>
                          <w:szCs w:val="28"/>
                          <w:lang w:val="en-US"/>
                        </w:rPr>
                        <m:t>y</m:t>
                      </m:r>
                    </m:sub>
                  </m:sSub>
                  <m:r>
                    <w:rPr>
                      <w:rFonts w:ascii="Cambria Math" w:eastAsia="Times New Roman" w:hAnsi="Cambria Math" w:cs="Times New Roman"/>
                      <w:sz w:val="28"/>
                      <w:szCs w:val="28"/>
                    </w:rPr>
                    <m:t>)</m:t>
                  </m:r>
                </m:e>
                <m:sub>
                  <m:r>
                    <w:rPr>
                      <w:rFonts w:ascii="Cambria Math" w:eastAsia="Times New Roman" w:hAnsi="Cambria Math" w:cs="Times New Roman"/>
                      <w:sz w:val="28"/>
                      <w:szCs w:val="28"/>
                      <w:lang w:val="en-US"/>
                    </w:rPr>
                    <m:t>m</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k</m:t>
                  </m:r>
                </m:sub>
              </m:sSub>
            </m:e>
          </m:nary>
        </m:oMath>
      </m:oMathPara>
    </w:p>
    <w:p w:rsidR="00C92781" w:rsidRPr="00C92781" w:rsidRDefault="00C92781" w:rsidP="00C92781">
      <w:pPr>
        <w:spacing w:line="360" w:lineRule="auto"/>
        <w:ind w:firstLine="708"/>
        <w:jc w:val="center"/>
        <w:rPr>
          <w:rFonts w:ascii="Times New Roman" w:eastAsia="Times New Roman" w:hAnsi="Times New Roman" w:cs="Times New Roman"/>
          <w:sz w:val="28"/>
          <w:szCs w:val="28"/>
          <w:lang w:val="en-US"/>
        </w:rPr>
      </w:pPr>
      <m:oMathPara>
        <m:oMath>
          <m:r>
            <w:rPr>
              <w:rFonts w:ascii="Cambria Math" w:eastAsia="Times New Roman" w:hAnsi="Cambria Math" w:cs="Times New Roman"/>
              <w:sz w:val="28"/>
              <w:szCs w:val="28"/>
            </w:rPr>
            <m:t>W</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a,b</m:t>
              </m:r>
            </m:e>
          </m:d>
          <m:r>
            <w:rPr>
              <w:rFonts w:ascii="Cambria Math" w:eastAsia="Times New Roman" w:hAnsi="Cambria Math" w:cs="Times New Roman"/>
              <w:sz w:val="28"/>
              <w:szCs w:val="28"/>
            </w:rPr>
            <m:t>=if(a+b&gt;248,0,</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e</m:t>
              </m:r>
            </m:e>
            <m:sup>
              <m:r>
                <w:rPr>
                  <w:rFonts w:ascii="Cambria Math" w:eastAsia="Times New Roman" w:hAnsi="Cambria Math" w:cs="Times New Roman"/>
                  <w:sz w:val="28"/>
                  <w:szCs w:val="28"/>
                </w:rPr>
                <m:t>Rs</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a,b</m:t>
                  </m:r>
                </m:e>
              </m:d>
            </m:sup>
          </m:sSup>
          <m:r>
            <w:rPr>
              <w:rFonts w:ascii="Cambria Math" w:eastAsia="Times New Roman" w:hAnsi="Cambria Math" w:cs="Times New Roman"/>
              <w:sz w:val="28"/>
              <w:szCs w:val="28"/>
            </w:rPr>
            <m:t>)</m:t>
          </m:r>
        </m:oMath>
      </m:oMathPara>
    </w:p>
    <w:p w:rsidR="00C92781" w:rsidRPr="00C92781" w:rsidRDefault="00C92781" w:rsidP="00C92781">
      <w:pPr>
        <w:spacing w:line="360" w:lineRule="auto"/>
        <w:jc w:val="both"/>
        <w:rPr>
          <w:rFonts w:ascii="Times New Roman" w:eastAsia="Times New Roman" w:hAnsi="Times New Roman" w:cs="Times New Roman"/>
          <w:sz w:val="28"/>
          <w:szCs w:val="28"/>
        </w:rPr>
      </w:pPr>
      <w:r w:rsidRPr="00C92781">
        <w:rPr>
          <w:rFonts w:ascii="Times New Roman" w:eastAsia="Times New Roman" w:hAnsi="Times New Roman" w:cs="Times New Roman"/>
          <w:sz w:val="28"/>
          <w:szCs w:val="28"/>
        </w:rPr>
        <w:t xml:space="preserve">где </w:t>
      </w:r>
      <m:oMath>
        <m:r>
          <w:rPr>
            <w:rFonts w:ascii="Cambria Math" w:eastAsia="Times New Roman" w:hAnsi="Cambria Math" w:cs="Times New Roman"/>
            <w:sz w:val="28"/>
            <w:szCs w:val="28"/>
            <w:lang w:val="en-US"/>
          </w:rPr>
          <m:t>k</m:t>
        </m:r>
      </m:oMath>
      <w:r w:rsidRPr="00C92781">
        <w:rPr>
          <w:rFonts w:ascii="Times New Roman" w:eastAsia="Times New Roman" w:hAnsi="Times New Roman" w:cs="Times New Roman"/>
          <w:sz w:val="28"/>
          <w:szCs w:val="28"/>
        </w:rPr>
        <w:t xml:space="preserve"> – порядковый номер профучастника, </w:t>
      </w:r>
      <m:oMath>
        <m:r>
          <w:rPr>
            <w:rFonts w:ascii="Cambria Math" w:eastAsia="Times New Roman" w:hAnsi="Cambria Math" w:cs="Times New Roman"/>
            <w:sz w:val="28"/>
            <w:szCs w:val="28"/>
            <w:lang w:val="en-US"/>
          </w:rPr>
          <m:t>m</m:t>
        </m:r>
      </m:oMath>
      <w:r w:rsidRPr="00C92781">
        <w:rPr>
          <w:rFonts w:ascii="Times New Roman" w:eastAsia="Times New Roman" w:hAnsi="Times New Roman" w:cs="Times New Roman"/>
          <w:sz w:val="28"/>
          <w:szCs w:val="28"/>
        </w:rPr>
        <w:t xml:space="preserve"> – условно заданная переменная, равная единице. </w:t>
      </w:r>
    </w:p>
    <w:p w:rsidR="00C92781" w:rsidRPr="00C92781" w:rsidRDefault="00964DB3" w:rsidP="00C92781">
      <w:pPr>
        <w:spacing w:line="360" w:lineRule="auto"/>
        <w:jc w:val="both"/>
        <w:rPr>
          <w:rFonts w:ascii="Times New Roman" w:eastAsia="Times New Roman" w:hAnsi="Times New Roman" w:cs="Times New Roman"/>
          <w:sz w:val="28"/>
          <w:szCs w:val="28"/>
        </w:rPr>
      </w:pPr>
      <w:r>
        <w:rPr>
          <w:rFonts w:ascii="Calibri" w:eastAsia="Calibri" w:hAnsi="Calibri" w:cs="Times New Roman"/>
          <w:noProof/>
          <w:lang w:eastAsia="ru-RU"/>
        </w:rPr>
        <w:lastRenderedPageBreak/>
        <mc:AlternateContent>
          <mc:Choice Requires="wps">
            <w:drawing>
              <wp:anchor distT="0" distB="0" distL="114300" distR="114300" simplePos="0" relativeHeight="251670528" behindDoc="0" locked="0" layoutInCell="1" allowOverlap="1" wp14:anchorId="4A7F8745" wp14:editId="19754C18">
                <wp:simplePos x="0" y="0"/>
                <wp:positionH relativeFrom="column">
                  <wp:posOffset>583565</wp:posOffset>
                </wp:positionH>
                <wp:positionV relativeFrom="paragraph">
                  <wp:posOffset>6837680</wp:posOffset>
                </wp:positionV>
                <wp:extent cx="4381500" cy="419100"/>
                <wp:effectExtent l="0" t="0" r="0" b="0"/>
                <wp:wrapTopAndBottom/>
                <wp:docPr id="1054" name="Поле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20327F" w:rsidRDefault="00DA0396" w:rsidP="00C92781">
                            <w:pPr>
                              <w:pStyle w:val="aa"/>
                              <w:jc w:val="right"/>
                              <w:rPr>
                                <w:rFonts w:ascii="Times New Roman" w:hAnsi="Times New Roman"/>
                                <w:noProof/>
                                <w:color w:val="000000" w:themeColor="text1"/>
                                <w:sz w:val="20"/>
                                <w:szCs w:val="20"/>
                              </w:rPr>
                            </w:pPr>
                            <w:r w:rsidRPr="0020327F">
                              <w:rPr>
                                <w:rFonts w:ascii="Times New Roman" w:hAnsi="Times New Roman"/>
                                <w:color w:val="000000" w:themeColor="text1"/>
                                <w:sz w:val="20"/>
                                <w:szCs w:val="20"/>
                              </w:rPr>
                              <w:t>Источник:</w:t>
                            </w:r>
                            <w:r>
                              <w:rPr>
                                <w:rFonts w:ascii="Times New Roman" w:hAnsi="Times New Roman"/>
                                <w:color w:val="000000" w:themeColor="text1"/>
                                <w:sz w:val="20"/>
                                <w:szCs w:val="20"/>
                              </w:rPr>
                              <w:t xml:space="preserve"> </w:t>
                            </w:r>
                            <w:r w:rsidRPr="0020327F">
                              <w:rPr>
                                <w:rFonts w:ascii="Times New Roman" w:hAnsi="Times New Roman"/>
                                <w:color w:val="000000" w:themeColor="text1"/>
                                <w:sz w:val="20"/>
                                <w:szCs w:val="20"/>
                              </w:rPr>
                              <w:t>Ильин Е.В. Механизмы и пределы саморегулирования на финансовых рынках в раз</w:t>
                            </w:r>
                            <w:r>
                              <w:rPr>
                                <w:rFonts w:ascii="Times New Roman" w:hAnsi="Times New Roman"/>
                                <w:color w:val="000000" w:themeColor="text1"/>
                                <w:sz w:val="20"/>
                                <w:szCs w:val="20"/>
                              </w:rPr>
                              <w:t>витых странах мира. 2012. Стр. 70</w:t>
                            </w:r>
                            <w:r w:rsidRPr="0020327F">
                              <w:rPr>
                                <w:rFonts w:ascii="Times New Roman" w:hAnsi="Times New Roman"/>
                                <w:color w:val="000000" w:themeColor="text1"/>
                                <w:sz w:val="20"/>
                                <w:szCs w:val="2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054" o:spid="_x0000_s1036" type="#_x0000_t202" style="position:absolute;left:0;text-align:left;margin-left:45.95pt;margin-top:538.4pt;width:34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" stroked="f">
                <v:textbox style="mso-fit-shape-to-text:t" inset="0,0,0,0">
                  <w:txbxContent>
                    <w:p w:rsidR="00DA0396" w:rsidRPr="0020327F" w:rsidRDefault="00DA0396" w:rsidP="00C92781">
                      <w:pPr>
                        <w:pStyle w:val="aa"/>
                        <w:jc w:val="right"/>
                        <w:rPr>
                          <w:rFonts w:ascii="Times New Roman" w:hAnsi="Times New Roman"/>
                          <w:noProof/>
                          <w:color w:val="000000" w:themeColor="text1"/>
                          <w:sz w:val="20"/>
                          <w:szCs w:val="20"/>
                        </w:rPr>
                      </w:pPr>
                      <w:r w:rsidRPr="0020327F">
                        <w:rPr>
                          <w:rFonts w:ascii="Times New Roman" w:hAnsi="Times New Roman"/>
                          <w:color w:val="000000" w:themeColor="text1"/>
                          <w:sz w:val="20"/>
                          <w:szCs w:val="20"/>
                        </w:rPr>
                        <w:t>Источник:</w:t>
                      </w:r>
                      <w:r>
                        <w:rPr>
                          <w:rFonts w:ascii="Times New Roman" w:hAnsi="Times New Roman"/>
                          <w:color w:val="000000" w:themeColor="text1"/>
                          <w:sz w:val="20"/>
                          <w:szCs w:val="20"/>
                        </w:rPr>
                        <w:t xml:space="preserve"> </w:t>
                      </w:r>
                      <w:r w:rsidRPr="0020327F">
                        <w:rPr>
                          <w:rFonts w:ascii="Times New Roman" w:hAnsi="Times New Roman"/>
                          <w:color w:val="000000" w:themeColor="text1"/>
                          <w:sz w:val="20"/>
                          <w:szCs w:val="20"/>
                        </w:rPr>
                        <w:t>Ильин Е.В. Механизмы и пределы саморегулирования на финансовых рынках в раз</w:t>
                      </w:r>
                      <w:r>
                        <w:rPr>
                          <w:rFonts w:ascii="Times New Roman" w:hAnsi="Times New Roman"/>
                          <w:color w:val="000000" w:themeColor="text1"/>
                          <w:sz w:val="20"/>
                          <w:szCs w:val="20"/>
                        </w:rPr>
                        <w:t>витых странах мира. 2012. Стр. 70</w:t>
                      </w:r>
                      <w:r w:rsidRPr="0020327F">
                        <w:rPr>
                          <w:rFonts w:ascii="Times New Roman" w:hAnsi="Times New Roman"/>
                          <w:color w:val="000000" w:themeColor="text1"/>
                          <w:sz w:val="20"/>
                          <w:szCs w:val="20"/>
                        </w:rPr>
                        <w:t>.</w:t>
                      </w:r>
                    </w:p>
                  </w:txbxContent>
                </v:textbox>
                <w10:wrap type="topAndBottom"/>
              </v:shape>
            </w:pict>
          </mc:Fallback>
        </mc:AlternateContent>
      </w:r>
      <w:r w:rsidR="00C92781" w:rsidRPr="00C92781">
        <w:rPr>
          <w:rFonts w:ascii="Times New Roman" w:eastAsia="Times New Roman" w:hAnsi="Times New Roman" w:cs="Times New Roman"/>
          <w:sz w:val="28"/>
          <w:szCs w:val="28"/>
        </w:rPr>
        <w:tab/>
      </w:r>
      <w:r w:rsidR="00C92781" w:rsidRPr="00C92781">
        <w:rPr>
          <w:rFonts w:ascii="Times New Roman" w:eastAsia="Calibri" w:hAnsi="Times New Roman" w:cs="Times New Roman"/>
          <w:sz w:val="28"/>
          <w:szCs w:val="28"/>
        </w:rPr>
        <w:t xml:space="preserve">После получения функции стоимости портфеля, строится матрица </w:t>
      </w:r>
      <m:oMath>
        <m:r>
          <w:rPr>
            <w:rFonts w:ascii="Cambria Math" w:eastAsia="Calibri" w:hAnsi="Cambria Math" w:cs="Times New Roman"/>
            <w:sz w:val="28"/>
            <w:szCs w:val="28"/>
          </w:rPr>
          <m:t>d</m:t>
        </m:r>
      </m:oMath>
      <w:r w:rsidR="00C92781" w:rsidRPr="00C92781">
        <w:rPr>
          <w:rFonts w:ascii="Times New Roman" w:eastAsia="Times New Roman" w:hAnsi="Times New Roman" w:cs="Times New Roman"/>
          <w:sz w:val="28"/>
          <w:szCs w:val="28"/>
        </w:rPr>
        <w:t xml:space="preserve"> р</w:t>
      </w:r>
      <w:r w:rsidR="00C92781" w:rsidRPr="00C92781">
        <w:rPr>
          <w:rFonts w:ascii="Times New Roman" w:eastAsia="Calibri" w:hAnsi="Times New Roman" w:cs="Times New Roman"/>
          <w:sz w:val="28"/>
          <w:szCs w:val="28"/>
        </w:rPr>
        <w:t xml:space="preserve">азмером 248*248 из элементов </w:t>
      </w:r>
      <m:oMath>
        <m:r>
          <w:rPr>
            <w:rFonts w:ascii="Cambria Math" w:eastAsia="Times New Roman" w:hAnsi="Cambria Math" w:cs="Times New Roman"/>
            <w:sz w:val="28"/>
            <w:szCs w:val="28"/>
          </w:rPr>
          <m:t>W</m:t>
        </m:r>
      </m:oMath>
      <w:r w:rsidR="00C92781" w:rsidRPr="00C92781">
        <w:rPr>
          <w:rFonts w:ascii="Times New Roman" w:eastAsia="Times New Roman" w:hAnsi="Times New Roman" w:cs="Times New Roman"/>
          <w:sz w:val="28"/>
          <w:szCs w:val="28"/>
        </w:rPr>
        <w:t xml:space="preserve">. В ней находятся интервалы с максимальными значениями </w:t>
      </w:r>
      <m:oMath>
        <m:r>
          <w:rPr>
            <w:rFonts w:ascii="Cambria Math" w:eastAsia="Times New Roman" w:hAnsi="Cambria Math" w:cs="Times New Roman"/>
            <w:sz w:val="28"/>
            <w:szCs w:val="28"/>
          </w:rPr>
          <m:t>W</m:t>
        </m:r>
      </m:oMath>
      <w:r w:rsidR="00C92781" w:rsidRPr="00C92781">
        <w:rPr>
          <w:rFonts w:ascii="Times New Roman" w:eastAsia="Times New Roman" w:hAnsi="Times New Roman" w:cs="Times New Roman"/>
          <w:sz w:val="28"/>
          <w:szCs w:val="28"/>
        </w:rPr>
        <w:t xml:space="preserve"> для каждого профучастника, которые выводятся в отдельную матрицу. В результате получены порядковые номера дней (по два для каждого профучастника), которые и являются нижней и верхней границами искомого интервала. На последнем этапе номера операционных дней соотносятся со значениями неэффективности рынка из </w:t>
      </w:r>
      <w:r w:rsidR="00C92781">
        <w:rPr>
          <w:rFonts w:ascii="Calibri" w:eastAsia="Calibri" w:hAnsi="Calibri" w:cs="Times New Roman"/>
          <w:noProof/>
          <w:lang w:eastAsia="ru-RU"/>
        </w:rPr>
        <mc:AlternateContent>
          <mc:Choice Requires="wps">
            <w:drawing>
              <wp:anchor distT="0" distB="0" distL="114300" distR="114300" simplePos="0" relativeHeight="251669504" behindDoc="0" locked="0" layoutInCell="1" allowOverlap="1" wp14:anchorId="57C99192" wp14:editId="6AE27849">
                <wp:simplePos x="0" y="0"/>
                <wp:positionH relativeFrom="column">
                  <wp:posOffset>739140</wp:posOffset>
                </wp:positionH>
                <wp:positionV relativeFrom="paragraph">
                  <wp:posOffset>1954530</wp:posOffset>
                </wp:positionV>
                <wp:extent cx="4381500" cy="457200"/>
                <wp:effectExtent l="0" t="1905" r="3810" b="0"/>
                <wp:wrapTopAndBottom/>
                <wp:docPr id="1055" name="Поле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EB4297" w:rsidRDefault="00DA0396" w:rsidP="00C92781">
                            <w:pPr>
                              <w:pStyle w:val="aa"/>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Схема 7</w:t>
                            </w:r>
                            <w:r w:rsidRPr="00EB4297">
                              <w:rPr>
                                <w:rFonts w:ascii="Times New Roman" w:hAnsi="Times New Roman"/>
                                <w:noProof/>
                                <w:color w:val="000000" w:themeColor="text1"/>
                                <w:sz w:val="24"/>
                                <w:szCs w:val="24"/>
                              </w:rPr>
                              <w:t>: Обобщенный метод выявления предпочтений одного профучастника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55" o:spid="_x0000_s1037" type="#_x0000_t202" style="position:absolute;left:0;text-align:left;margin-left:58.2pt;margin-top:153.9pt;width:34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" stroked="f">
                <v:textbox inset="0,0,0,0">
                  <w:txbxContent>
                    <w:p w:rsidR="00DA0396" w:rsidRPr="00EB4297" w:rsidRDefault="00DA0396" w:rsidP="00C92781">
                      <w:pPr>
                        <w:pStyle w:val="aa"/>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Схема 7</w:t>
                      </w:r>
                      <w:r w:rsidRPr="00EB4297">
                        <w:rPr>
                          <w:rFonts w:ascii="Times New Roman" w:hAnsi="Times New Roman"/>
                          <w:noProof/>
                          <w:color w:val="000000" w:themeColor="text1"/>
                          <w:sz w:val="24"/>
                          <w:szCs w:val="24"/>
                        </w:rPr>
                        <w:t>: Обобщенный метод выявления предпочтений одного профучастника</w:t>
                      </w:r>
                    </w:p>
                  </w:txbxContent>
                </v:textbox>
                <w10:wrap type="topAndBottom"/>
              </v:shape>
            </w:pict>
          </mc:Fallback>
        </mc:AlternateContent>
      </w:r>
      <w:r w:rsidR="00C92781" w:rsidRPr="00C92781">
        <w:rPr>
          <w:rFonts w:ascii="Times New Roman" w:eastAsia="Times New Roman" w:hAnsi="Times New Roman" w:cs="Times New Roman"/>
          <w:sz w:val="28"/>
          <w:szCs w:val="28"/>
        </w:rPr>
        <w:t xml:space="preserve">первого столбца матрицы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Ds</m:t>
            </m:r>
          </m:e>
          <m:sub>
            <m:r>
              <w:rPr>
                <w:rFonts w:ascii="Cambria Math" w:eastAsia="Times New Roman" w:hAnsi="Cambria Math" w:cs="Times New Roman"/>
                <w:sz w:val="28"/>
                <w:szCs w:val="28"/>
              </w:rPr>
              <m:t>y</m:t>
            </m:r>
          </m:sub>
        </m:sSub>
      </m:oMath>
      <w:r w:rsidR="00C92781" w:rsidRPr="00C92781">
        <w:rPr>
          <w:rFonts w:ascii="Times New Roman" w:eastAsia="Times New Roman" w:hAnsi="Times New Roman" w:cs="Times New Roman"/>
          <w:sz w:val="28"/>
          <w:szCs w:val="28"/>
        </w:rPr>
        <w:t xml:space="preserve">. Все вычисления выполнены в среде </w:t>
      </w:r>
      <w:r w:rsidR="00C92781" w:rsidRPr="00C92781">
        <w:rPr>
          <w:rFonts w:ascii="Times New Roman" w:eastAsia="Times New Roman" w:hAnsi="Times New Roman" w:cs="Times New Roman"/>
          <w:sz w:val="28"/>
          <w:szCs w:val="28"/>
          <w:lang w:val="en-US"/>
        </w:rPr>
        <w:t>Mathcad</w:t>
      </w:r>
      <w:r w:rsidR="00C92781" w:rsidRPr="00C92781">
        <w:rPr>
          <w:rFonts w:ascii="Times New Roman" w:eastAsia="Times New Roman" w:hAnsi="Times New Roman" w:cs="Times New Roman"/>
          <w:sz w:val="28"/>
          <w:szCs w:val="28"/>
        </w:rPr>
        <w:t xml:space="preserve"> и </w:t>
      </w:r>
      <w:r w:rsidR="00C92781" w:rsidRPr="00C92781">
        <w:rPr>
          <w:rFonts w:ascii="Calibri" w:eastAsia="Calibri" w:hAnsi="Calibri" w:cs="Times New Roman"/>
          <w:noProof/>
          <w:lang w:eastAsia="ru-RU"/>
        </w:rPr>
        <w:drawing>
          <wp:anchor distT="0" distB="0" distL="114300" distR="114300" simplePos="0" relativeHeight="251671552" behindDoc="1" locked="0" layoutInCell="1" allowOverlap="1" wp14:anchorId="0D2D7817" wp14:editId="2464CFAB">
            <wp:simplePos x="0" y="0"/>
            <wp:positionH relativeFrom="column">
              <wp:posOffset>772160</wp:posOffset>
            </wp:positionH>
            <wp:positionV relativeFrom="paragraph">
              <wp:posOffset>2412365</wp:posOffset>
            </wp:positionV>
            <wp:extent cx="4333875" cy="4219575"/>
            <wp:effectExtent l="0" t="0" r="0" b="0"/>
            <wp:wrapTight wrapText="bothSides">
              <wp:wrapPolygon edited="0">
                <wp:start x="0" y="0"/>
                <wp:lineTo x="0" y="21551"/>
                <wp:lineTo x="21553" y="21551"/>
                <wp:lineTo x="21553" y="0"/>
                <wp:lineTo x="0" y="0"/>
              </wp:wrapPolygon>
            </wp:wrapTight>
            <wp:docPr id="1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3875" cy="4219575"/>
                    </a:xfrm>
                    <a:prstGeom prst="rect">
                      <a:avLst/>
                    </a:prstGeom>
                    <a:noFill/>
                    <a:ln w="1">
                      <a:noFill/>
                      <a:miter lim="800000"/>
                      <a:headEnd/>
                      <a:tailEnd type="none" w="med" len="med"/>
                    </a:ln>
                    <a:effectLst/>
                  </pic:spPr>
                </pic:pic>
              </a:graphicData>
            </a:graphic>
            <wp14:sizeRelH relativeFrom="page">
              <wp14:pctWidth>0</wp14:pctWidth>
            </wp14:sizeRelH>
            <wp14:sizeRelV relativeFrom="page">
              <wp14:pctHeight>0</wp14:pctHeight>
            </wp14:sizeRelV>
          </wp:anchor>
        </w:drawing>
      </w:r>
      <w:r w:rsidR="00C92781" w:rsidRPr="00C92781">
        <w:rPr>
          <w:rFonts w:ascii="Times New Roman" w:eastAsia="Times New Roman" w:hAnsi="Times New Roman" w:cs="Times New Roman"/>
          <w:sz w:val="28"/>
          <w:szCs w:val="28"/>
        </w:rPr>
        <w:t xml:space="preserve">представлены в приложении.  </w:t>
      </w:r>
    </w:p>
    <w:p w:rsidR="00C92781" w:rsidRPr="00C92781" w:rsidRDefault="00C92781" w:rsidP="00C92781">
      <w:pPr>
        <w:spacing w:line="360" w:lineRule="auto"/>
        <w:jc w:val="both"/>
        <w:rPr>
          <w:rFonts w:ascii="Times New Roman" w:eastAsia="Times New Roman" w:hAnsi="Times New Roman" w:cs="Times New Roman"/>
          <w:sz w:val="28"/>
          <w:szCs w:val="28"/>
        </w:rPr>
      </w:pPr>
      <w:r w:rsidRPr="00C92781">
        <w:rPr>
          <w:rFonts w:ascii="Times New Roman" w:eastAsia="Times New Roman" w:hAnsi="Times New Roman" w:cs="Times New Roman"/>
          <w:sz w:val="28"/>
          <w:szCs w:val="28"/>
        </w:rPr>
        <w:tab/>
        <w:t xml:space="preserve">Полученные результаты представлены на графике 8 в виде японских свечей. При этом тело свечи символизирует нижнюю и верхнюю границы предпочитаемых интервалов неэффективности рынка (для каждого года </w:t>
      </w:r>
      <w:r w:rsidRPr="00C92781">
        <w:rPr>
          <w:rFonts w:ascii="Times New Roman" w:eastAsia="Times New Roman" w:hAnsi="Times New Roman" w:cs="Times New Roman"/>
          <w:sz w:val="28"/>
          <w:szCs w:val="28"/>
        </w:rPr>
        <w:lastRenderedPageBreak/>
        <w:t xml:space="preserve">значение усреднено по всем профучастникам). На месте максимальных и минимальных цен указаны соответственно эмпирически рассчитанные максимальный и минимальный уровни неэффективности рынка в данном году. </w:t>
      </w:r>
    </w:p>
    <w:p w:rsidR="00C92781" w:rsidRPr="00C92781" w:rsidRDefault="00C92781" w:rsidP="00C9278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832485</wp:posOffset>
                </wp:positionH>
                <wp:positionV relativeFrom="paragraph">
                  <wp:posOffset>-7620</wp:posOffset>
                </wp:positionV>
                <wp:extent cx="4024630" cy="361950"/>
                <wp:effectExtent l="3810" t="1905" r="635" b="0"/>
                <wp:wrapTight wrapText="bothSides">
                  <wp:wrapPolygon edited="0">
                    <wp:start x="-51" y="0"/>
                    <wp:lineTo x="-51" y="21145"/>
                    <wp:lineTo x="21600" y="21145"/>
                    <wp:lineTo x="21600" y="0"/>
                    <wp:lineTo x="-51" y="0"/>
                  </wp:wrapPolygon>
                </wp:wrapTight>
                <wp:docPr id="1053" name="Поле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1A44A1" w:rsidRDefault="00DA0396" w:rsidP="00C92781">
                            <w:pPr>
                              <w:pStyle w:val="aa"/>
                              <w:jc w:val="center"/>
                              <w:rPr>
                                <w:rFonts w:ascii="Times New Roman" w:hAnsi="Times New Roman"/>
                                <w:noProof/>
                                <w:color w:val="000000" w:themeColor="text1"/>
                                <w:sz w:val="24"/>
                                <w:szCs w:val="24"/>
                              </w:rPr>
                            </w:pPr>
                            <w:r>
                              <w:rPr>
                                <w:rFonts w:ascii="Times New Roman" w:hAnsi="Times New Roman"/>
                                <w:color w:val="000000" w:themeColor="text1"/>
                                <w:sz w:val="24"/>
                                <w:szCs w:val="24"/>
                              </w:rPr>
                              <w:t>График 8</w:t>
                            </w:r>
                            <w:r w:rsidRPr="001A44A1">
                              <w:rPr>
                                <w:rFonts w:ascii="Times New Roman" w:hAnsi="Times New Roman"/>
                                <w:color w:val="000000" w:themeColor="text1"/>
                                <w:sz w:val="24"/>
                                <w:szCs w:val="24"/>
                              </w:rPr>
                              <w:t xml:space="preserve">: </w:t>
                            </w:r>
                            <w:r>
                              <w:rPr>
                                <w:rFonts w:ascii="Times New Roman" w:hAnsi="Times New Roman"/>
                                <w:color w:val="000000" w:themeColor="text1"/>
                                <w:sz w:val="24"/>
                                <w:szCs w:val="24"/>
                              </w:rPr>
                              <w:t>Усредненные интервалы предпочтений неэффективности рынка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53" o:spid="_x0000_s1038" type="#_x0000_t202" style="position:absolute;left:0;text-align:left;margin-left:65.55pt;margin-top:-.6pt;width:316.9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" stroked="f">
                <v:textbox inset="0,0,0,0">
                  <w:txbxContent>
                    <w:p w:rsidR="00DA0396" w:rsidRPr="001A44A1" w:rsidRDefault="00DA0396" w:rsidP="00C92781">
                      <w:pPr>
                        <w:pStyle w:val="aa"/>
                        <w:jc w:val="center"/>
                        <w:rPr>
                          <w:rFonts w:ascii="Times New Roman" w:hAnsi="Times New Roman"/>
                          <w:noProof/>
                          <w:color w:val="000000" w:themeColor="text1"/>
                          <w:sz w:val="24"/>
                          <w:szCs w:val="24"/>
                        </w:rPr>
                      </w:pPr>
                      <w:r>
                        <w:rPr>
                          <w:rFonts w:ascii="Times New Roman" w:hAnsi="Times New Roman"/>
                          <w:color w:val="000000" w:themeColor="text1"/>
                          <w:sz w:val="24"/>
                          <w:szCs w:val="24"/>
                        </w:rPr>
                        <w:t>График 8</w:t>
                      </w:r>
                      <w:r w:rsidRPr="001A44A1">
                        <w:rPr>
                          <w:rFonts w:ascii="Times New Roman" w:hAnsi="Times New Roman"/>
                          <w:color w:val="000000" w:themeColor="text1"/>
                          <w:sz w:val="24"/>
                          <w:szCs w:val="24"/>
                        </w:rPr>
                        <w:t xml:space="preserve">: </w:t>
                      </w:r>
                      <w:r>
                        <w:rPr>
                          <w:rFonts w:ascii="Times New Roman" w:hAnsi="Times New Roman"/>
                          <w:color w:val="000000" w:themeColor="text1"/>
                          <w:sz w:val="24"/>
                          <w:szCs w:val="24"/>
                        </w:rPr>
                        <w:t>Усредненные интервалы предпочтений неэффективности рынка</w:t>
                      </w:r>
                    </w:p>
                  </w:txbxContent>
                </v:textbox>
                <w10:wrap type="tight"/>
              </v:shape>
            </w:pict>
          </mc:Fallback>
        </mc:AlternateContent>
      </w:r>
    </w:p>
    <w:p w:rsidR="00C92781" w:rsidRPr="00C92781" w:rsidRDefault="00C92781" w:rsidP="00C92781">
      <w:pPr>
        <w:keepNext/>
        <w:spacing w:line="360" w:lineRule="auto"/>
        <w:jc w:val="center"/>
        <w:rPr>
          <w:rFonts w:ascii="Calibri" w:eastAsia="Calibri" w:hAnsi="Calibri" w:cs="Times New Roman"/>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1224915</wp:posOffset>
                </wp:positionH>
                <wp:positionV relativeFrom="paragraph">
                  <wp:posOffset>2876550</wp:posOffset>
                </wp:positionV>
                <wp:extent cx="4024630" cy="200025"/>
                <wp:effectExtent l="0" t="0" r="0" b="0"/>
                <wp:wrapTight wrapText="bothSides">
                  <wp:wrapPolygon edited="0">
                    <wp:start x="-51" y="0"/>
                    <wp:lineTo x="-51" y="21120"/>
                    <wp:lineTo x="21600" y="21120"/>
                    <wp:lineTo x="21600" y="0"/>
                    <wp:lineTo x="-51" y="0"/>
                  </wp:wrapPolygon>
                </wp:wrapTight>
                <wp:docPr id="1052" name="Поле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C052EA" w:rsidRDefault="00DA0396" w:rsidP="00C92781">
                            <w:pPr>
                              <w:pStyle w:val="aa"/>
                              <w:jc w:val="right"/>
                              <w:rPr>
                                <w:rFonts w:ascii="Times New Roman" w:hAnsi="Times New Roman"/>
                                <w:noProof/>
                                <w:color w:val="000000" w:themeColor="text1"/>
                                <w:sz w:val="20"/>
                                <w:szCs w:val="20"/>
                              </w:rPr>
                            </w:pPr>
                            <w:r>
                              <w:rPr>
                                <w:rFonts w:ascii="Times New Roman" w:hAnsi="Times New Roman"/>
                                <w:color w:val="000000" w:themeColor="text1"/>
                                <w:sz w:val="20"/>
                                <w:szCs w:val="20"/>
                              </w:rPr>
                              <w:t>Источник: собственные расчеты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52" o:spid="_x0000_s1039" type="#_x0000_t202" style="position:absolute;left:0;text-align:left;margin-left:96.45pt;margin-top:226.5pt;width:316.9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" stroked="f">
                <v:textbox inset="0,0,0,0">
                  <w:txbxContent>
                    <w:p w:rsidR="00DA0396" w:rsidRPr="00C052EA" w:rsidRDefault="00DA0396" w:rsidP="00C92781">
                      <w:pPr>
                        <w:pStyle w:val="aa"/>
                        <w:jc w:val="right"/>
                        <w:rPr>
                          <w:rFonts w:ascii="Times New Roman" w:hAnsi="Times New Roman"/>
                          <w:noProof/>
                          <w:color w:val="000000" w:themeColor="text1"/>
                          <w:sz w:val="20"/>
                          <w:szCs w:val="20"/>
                        </w:rPr>
                      </w:pPr>
                      <w:r>
                        <w:rPr>
                          <w:rFonts w:ascii="Times New Roman" w:hAnsi="Times New Roman"/>
                          <w:color w:val="000000" w:themeColor="text1"/>
                          <w:sz w:val="20"/>
                          <w:szCs w:val="20"/>
                        </w:rPr>
                        <w:t>Источник: собственные расчеты</w:t>
                      </w:r>
                    </w:p>
                  </w:txbxContent>
                </v:textbox>
                <w10:wrap type="tight"/>
              </v:shape>
            </w:pict>
          </mc:Fallback>
        </mc:AlternateContent>
      </w:r>
      <w:r w:rsidRPr="00C92781">
        <w:rPr>
          <w:rFonts w:ascii="Calibri" w:eastAsia="Calibri" w:hAnsi="Calibri" w:cs="Times New Roman"/>
          <w:noProof/>
          <w:lang w:eastAsia="ru-RU"/>
        </w:rPr>
        <w:drawing>
          <wp:inline distT="0" distB="0" distL="0" distR="0" wp14:anchorId="69492376" wp14:editId="35E24FE4">
            <wp:extent cx="4572000" cy="2743200"/>
            <wp:effectExtent l="0" t="0" r="19050" b="19050"/>
            <wp:docPr id="1036" name="Диаграмма 10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92781" w:rsidRPr="00C92781" w:rsidRDefault="00C92781" w:rsidP="00C92781">
      <w:pPr>
        <w:spacing w:line="360" w:lineRule="auto"/>
        <w:jc w:val="both"/>
        <w:rPr>
          <w:rFonts w:ascii="Times New Roman" w:eastAsia="Times New Roman" w:hAnsi="Times New Roman" w:cs="Times New Roman"/>
          <w:sz w:val="28"/>
          <w:szCs w:val="28"/>
        </w:rPr>
      </w:pPr>
      <w:r w:rsidRPr="00C92781">
        <w:rPr>
          <w:rFonts w:ascii="Times New Roman" w:eastAsia="Times New Roman" w:hAnsi="Times New Roman" w:cs="Times New Roman"/>
          <w:sz w:val="28"/>
          <w:szCs w:val="28"/>
        </w:rPr>
        <w:tab/>
      </w: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r w:rsidRPr="00C92781">
        <w:rPr>
          <w:rFonts w:ascii="Times New Roman" w:eastAsia="Times New Roman" w:hAnsi="Times New Roman" w:cs="Times New Roman"/>
          <w:sz w:val="28"/>
          <w:szCs w:val="28"/>
        </w:rPr>
        <w:t xml:space="preserve">За рассматриваемый период времени нет ни одного года, когда предпочтения профучастников совпадали с сильной эффективностью рынка, выраженной минимальным значением информационной неэффективности за год. В этом может проявляться конфликт между коммерческими целями профучастников по максимизации стоимости их портфелей и регулятивными обязанностями саморегулируемой организации по обеспечению высокого уровня эффективности рынка. Профессиональные участники на протяжении восьми из девяти лет (за исключением 2004 года) предпочитали интервалы, удаленные от нормального распределения рынка. Кроме того, был применен одновыборочный </w:t>
      </w:r>
      <w:r w:rsidRPr="00C92781">
        <w:rPr>
          <w:rFonts w:ascii="Times New Roman" w:eastAsia="Times New Roman" w:hAnsi="Times New Roman" w:cs="Times New Roman"/>
          <w:sz w:val="28"/>
          <w:szCs w:val="28"/>
          <w:lang w:val="en-US"/>
        </w:rPr>
        <w:t>t</w:t>
      </w:r>
      <w:r w:rsidRPr="00C92781">
        <w:rPr>
          <w:rFonts w:ascii="Times New Roman" w:eastAsia="Times New Roman" w:hAnsi="Times New Roman" w:cs="Times New Roman"/>
          <w:sz w:val="28"/>
          <w:szCs w:val="28"/>
        </w:rPr>
        <w:t xml:space="preserve">-критерий для проверки нулевой гипотезы о  равенстве математического ожидания заданному значению. В данном случае речь идет об усредненной нижней границе в каждом году и её возможном равенстве локальному эмпирическому минимуму состояний неэффективности за тот же </w:t>
      </w:r>
      <w:r w:rsidRPr="00C92781">
        <w:rPr>
          <w:rFonts w:ascii="Times New Roman" w:eastAsia="Times New Roman" w:hAnsi="Times New Roman" w:cs="Times New Roman"/>
          <w:sz w:val="28"/>
          <w:szCs w:val="28"/>
        </w:rPr>
        <w:lastRenderedPageBreak/>
        <w:t xml:space="preserve">период. Во всех случаях гипотеза отвергается на 1% уровне значимости (результаты </w:t>
      </w:r>
      <w:r w:rsidRPr="00C92781">
        <w:rPr>
          <w:rFonts w:ascii="Times New Roman" w:eastAsia="Times New Roman" w:hAnsi="Times New Roman" w:cs="Times New Roman"/>
          <w:sz w:val="28"/>
          <w:szCs w:val="28"/>
          <w:lang w:val="en-US"/>
        </w:rPr>
        <w:t>t</w:t>
      </w:r>
      <w:r w:rsidRPr="00C92781">
        <w:rPr>
          <w:rFonts w:ascii="Times New Roman" w:eastAsia="Times New Roman" w:hAnsi="Times New Roman" w:cs="Times New Roman"/>
          <w:sz w:val="28"/>
          <w:szCs w:val="28"/>
        </w:rPr>
        <w:t xml:space="preserve">-статистики представлены в таблице 9). Это свидетельствует о том, что профучастникам не безразлично выбираемое состояние неэффективности рынка. Они сознательно предпочитают уровень неэффективности, удаленный от минимально возможного значения. Выявленные факты свидетельствуют о том, что конфликт интересов (той или иной глубины) является естественной проблемой любой саморегулируемой организации и имеет место на австралийском рынке. Можно предположить, что за рассматриваемый промежуток времени коммерческие интересы членов биржи учитывались в большей степени, нежели чем цели по регулированию рынка и обеспечению его эффективности. </w:t>
      </w: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r w:rsidRPr="00C92781">
        <w:rPr>
          <w:rFonts w:ascii="Calibri" w:eastAsia="Calibri" w:hAnsi="Calibri" w:cs="Times New Roman"/>
          <w:noProof/>
          <w:lang w:eastAsia="ru-RU"/>
        </w:rPr>
        <w:drawing>
          <wp:anchor distT="0" distB="0" distL="114300" distR="114300" simplePos="0" relativeHeight="251674624" behindDoc="0" locked="0" layoutInCell="1" allowOverlap="1" wp14:anchorId="461FB87E" wp14:editId="49F58B5F">
            <wp:simplePos x="0" y="0"/>
            <wp:positionH relativeFrom="column">
              <wp:posOffset>838200</wp:posOffset>
            </wp:positionH>
            <wp:positionV relativeFrom="paragraph">
              <wp:posOffset>462915</wp:posOffset>
            </wp:positionV>
            <wp:extent cx="4276725" cy="2105025"/>
            <wp:effectExtent l="0" t="0" r="0" b="0"/>
            <wp:wrapTopAndBottom/>
            <wp:docPr id="1037" name="Рисунок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1094740</wp:posOffset>
                </wp:positionH>
                <wp:positionV relativeFrom="paragraph">
                  <wp:posOffset>-25400</wp:posOffset>
                </wp:positionV>
                <wp:extent cx="3856355" cy="361950"/>
                <wp:effectExtent l="0" t="3175" r="1905" b="0"/>
                <wp:wrapTight wrapText="bothSides">
                  <wp:wrapPolygon edited="0">
                    <wp:start x="-50" y="0"/>
                    <wp:lineTo x="-50" y="21145"/>
                    <wp:lineTo x="21600" y="21145"/>
                    <wp:lineTo x="21600" y="0"/>
                    <wp:lineTo x="-50" y="0"/>
                  </wp:wrapPolygon>
                </wp:wrapTight>
                <wp:docPr id="1051" name="Поле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35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1A44A1" w:rsidRDefault="00DA0396" w:rsidP="00C92781">
                            <w:pPr>
                              <w:pStyle w:val="aa"/>
                              <w:jc w:val="center"/>
                              <w:rPr>
                                <w:rFonts w:ascii="Times New Roman" w:hAnsi="Times New Roman"/>
                                <w:noProof/>
                                <w:color w:val="000000" w:themeColor="text1"/>
                                <w:sz w:val="24"/>
                                <w:szCs w:val="24"/>
                              </w:rPr>
                            </w:pPr>
                            <w:r>
                              <w:rPr>
                                <w:rFonts w:ascii="Times New Roman" w:hAnsi="Times New Roman"/>
                                <w:color w:val="000000" w:themeColor="text1"/>
                                <w:sz w:val="24"/>
                                <w:szCs w:val="24"/>
                              </w:rPr>
                              <w:t>Таблица 9: Результаты применения одновыборочного t-критерия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51" o:spid="_x0000_s1040" type="#_x0000_t202" style="position:absolute;left:0;text-align:left;margin-left:86.2pt;margin-top:-2pt;width:303.6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" stroked="f">
                <v:textbox inset="0,0,0,0">
                  <w:txbxContent>
                    <w:p w:rsidR="00DA0396" w:rsidRPr="001A44A1" w:rsidRDefault="00DA0396" w:rsidP="00C92781">
                      <w:pPr>
                        <w:pStyle w:val="aa"/>
                        <w:jc w:val="center"/>
                        <w:rPr>
                          <w:rFonts w:ascii="Times New Roman" w:hAnsi="Times New Roman"/>
                          <w:noProof/>
                          <w:color w:val="000000" w:themeColor="text1"/>
                          <w:sz w:val="24"/>
                          <w:szCs w:val="24"/>
                        </w:rPr>
                      </w:pPr>
                      <w:r>
                        <w:rPr>
                          <w:rFonts w:ascii="Times New Roman" w:hAnsi="Times New Roman"/>
                          <w:color w:val="000000" w:themeColor="text1"/>
                          <w:sz w:val="24"/>
                          <w:szCs w:val="24"/>
                        </w:rPr>
                        <w:t>Таблица 9: Результаты применения одновыборочного t-критерия</w:t>
                      </w:r>
                    </w:p>
                  </w:txbxContent>
                </v:textbox>
                <w10:wrap type="tight"/>
              </v:shape>
            </w:pict>
          </mc:Fallback>
        </mc:AlternateContent>
      </w: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1094740</wp:posOffset>
                </wp:positionH>
                <wp:positionV relativeFrom="paragraph">
                  <wp:posOffset>2181860</wp:posOffset>
                </wp:positionV>
                <wp:extent cx="4024630" cy="200025"/>
                <wp:effectExtent l="0" t="635" r="0" b="0"/>
                <wp:wrapTight wrapText="bothSides">
                  <wp:wrapPolygon edited="0">
                    <wp:start x="-51" y="0"/>
                    <wp:lineTo x="-51" y="21120"/>
                    <wp:lineTo x="21600" y="21120"/>
                    <wp:lineTo x="21600" y="0"/>
                    <wp:lineTo x="-51" y="0"/>
                  </wp:wrapPolygon>
                </wp:wrapTight>
                <wp:docPr id="1050" name="Поле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C052EA" w:rsidRDefault="00DA0396" w:rsidP="00C92781">
                            <w:pPr>
                              <w:pStyle w:val="aa"/>
                              <w:jc w:val="right"/>
                              <w:rPr>
                                <w:rFonts w:ascii="Times New Roman" w:hAnsi="Times New Roman"/>
                                <w:noProof/>
                                <w:color w:val="000000" w:themeColor="text1"/>
                                <w:sz w:val="20"/>
                                <w:szCs w:val="20"/>
                              </w:rPr>
                            </w:pPr>
                            <w:r>
                              <w:rPr>
                                <w:rFonts w:ascii="Times New Roman" w:hAnsi="Times New Roman"/>
                                <w:color w:val="000000" w:themeColor="text1"/>
                                <w:sz w:val="20"/>
                                <w:szCs w:val="20"/>
                              </w:rPr>
                              <w:t>Источник: собственные расчеты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50" o:spid="_x0000_s1041" type="#_x0000_t202" style="position:absolute;left:0;text-align:left;margin-left:86.2pt;margin-top:171.8pt;width:316.9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" stroked="f">
                <v:textbox inset="0,0,0,0">
                  <w:txbxContent>
                    <w:p w:rsidR="00DA0396" w:rsidRPr="00C052EA" w:rsidRDefault="00DA0396" w:rsidP="00C92781">
                      <w:pPr>
                        <w:pStyle w:val="aa"/>
                        <w:jc w:val="right"/>
                        <w:rPr>
                          <w:rFonts w:ascii="Times New Roman" w:hAnsi="Times New Roman"/>
                          <w:noProof/>
                          <w:color w:val="000000" w:themeColor="text1"/>
                          <w:sz w:val="20"/>
                          <w:szCs w:val="20"/>
                        </w:rPr>
                      </w:pPr>
                      <w:r>
                        <w:rPr>
                          <w:rFonts w:ascii="Times New Roman" w:hAnsi="Times New Roman"/>
                          <w:color w:val="000000" w:themeColor="text1"/>
                          <w:sz w:val="20"/>
                          <w:szCs w:val="20"/>
                        </w:rPr>
                        <w:t>Источник: собственные расчеты</w:t>
                      </w:r>
                    </w:p>
                  </w:txbxContent>
                </v:textbox>
                <w10:wrap type="tight"/>
              </v:shape>
            </w:pict>
          </mc:Fallback>
        </mc:AlternateContent>
      </w:r>
      <w:r w:rsidRPr="00C92781">
        <w:rPr>
          <w:rFonts w:ascii="Times New Roman" w:eastAsia="Times New Roman" w:hAnsi="Times New Roman" w:cs="Times New Roman"/>
          <w:sz w:val="28"/>
          <w:szCs w:val="28"/>
        </w:rPr>
        <w:t xml:space="preserve">С другой стороны, рассматривая верхние границы предпочтений, можно отметить, что профучастники не стремятся выбирать состояния максимально неэффективного рынка. Верхние границы интервалов предпочтений удалены от эмпирического максимума в семи из девяти случаев, то есть состояния сильной неэффективности не соответствуют их предпочтениям. Это подтверждает отвергнутая на 1% уровне значимости гипотеза о равенстве средней верхней границы максимально возможному состоянию неэффективности рынка в рассматриваемом году (таблица 9). </w:t>
      </w: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r w:rsidRPr="00C92781">
        <w:rPr>
          <w:rFonts w:ascii="Times New Roman" w:eastAsia="Times New Roman" w:hAnsi="Times New Roman" w:cs="Times New Roman"/>
          <w:sz w:val="28"/>
          <w:szCs w:val="28"/>
        </w:rPr>
        <w:lastRenderedPageBreak/>
        <w:t xml:space="preserve">Максимальная приближенность верхней границы интервала предпочтений к наибольшему эмпирическому значению неэффективности наблюдается в 2004 году. В этом году было зафиксировано большое количество нарушений рыночной практики, в </w:t>
      </w:r>
      <w:proofErr w:type="gramStart"/>
      <w:r w:rsidRPr="00C92781">
        <w:rPr>
          <w:rFonts w:ascii="Times New Roman" w:eastAsia="Times New Roman" w:hAnsi="Times New Roman" w:cs="Times New Roman"/>
          <w:sz w:val="28"/>
          <w:szCs w:val="28"/>
        </w:rPr>
        <w:t>связи</w:t>
      </w:r>
      <w:proofErr w:type="gramEnd"/>
      <w:r w:rsidRPr="00C92781">
        <w:rPr>
          <w:rFonts w:ascii="Times New Roman" w:eastAsia="Times New Roman" w:hAnsi="Times New Roman" w:cs="Times New Roman"/>
          <w:sz w:val="28"/>
          <w:szCs w:val="28"/>
        </w:rPr>
        <w:t xml:space="preserve"> с чем Австралийская комиссия по ценным бумагам и инвестициям была наделена новыми расширенными полномочиями в области правоприменения, в частности, по расследованию возможных нарушений на финансовом рынке и вынесения решений по их пресечению. Также в 2004 году комиссия заключила с австралийской фондовой биржей меморандум о взаимопонимании, в котором описывались взаимодополняющие роли двух учреждений по надзору за лицензированием, организацией клиринга и расчетов и т.п. В конце 2004 года биржа предоставила комиссии 70 извещений о возможном противозаконном поведении для их дальнейшего изучения и расследования. В результате применения подобных санкций интервал предпочтений в 2005 году заметно сократился. Таким образом, наблюдается взаимосвязь между решениями суверенных регуляторов во взаимодействии с саморегулируемыми организациями и структурой предпочтений профучастников. </w:t>
      </w: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proofErr w:type="gramStart"/>
      <w:r w:rsidRPr="00C92781">
        <w:rPr>
          <w:rFonts w:ascii="Times New Roman" w:eastAsia="Times New Roman" w:hAnsi="Times New Roman" w:cs="Times New Roman"/>
          <w:sz w:val="28"/>
          <w:szCs w:val="28"/>
        </w:rPr>
        <w:t>В контексте анализа удаленности усредненных нижних и верхних границ предпочтений от соответственно минимального и максимального эмпирических уровней неэффективности рынка, будет оправданным использование относительных параметров предпочтений саморегулируемых организаций:</w:t>
      </w:r>
      <w:proofErr w:type="gramEnd"/>
      <w:r w:rsidRPr="00C92781">
        <w:rPr>
          <w:rFonts w:ascii="Times New Roman" w:eastAsia="Times New Roman" w:hAnsi="Times New Roman" w:cs="Times New Roman"/>
          <w:sz w:val="28"/>
          <w:szCs w:val="28"/>
        </w:rPr>
        <w:t xml:space="preserve"> </w:t>
      </w:r>
      <w:proofErr w:type="gramStart"/>
      <w:r w:rsidRPr="00C92781">
        <w:rPr>
          <w:rFonts w:ascii="Times New Roman" w:eastAsia="Times New Roman" w:hAnsi="Times New Roman" w:cs="Times New Roman"/>
          <w:sz w:val="28"/>
          <w:szCs w:val="28"/>
          <w:lang w:val="en-US"/>
        </w:rPr>
        <w:t>RE</w:t>
      </w:r>
      <w:r w:rsidRPr="00C92781">
        <w:rPr>
          <w:rFonts w:ascii="Times New Roman" w:eastAsia="Times New Roman" w:hAnsi="Times New Roman" w:cs="Times New Roman"/>
          <w:sz w:val="28"/>
          <w:szCs w:val="28"/>
        </w:rPr>
        <w:t xml:space="preserve">, определяющегося как склонность саморегулируемой организации к ограничению эффективности рынка и отождествляющегося с выполнением нормотворческой функции, и </w:t>
      </w:r>
      <w:r w:rsidRPr="00C92781">
        <w:rPr>
          <w:rFonts w:ascii="Times New Roman" w:eastAsia="Times New Roman" w:hAnsi="Times New Roman" w:cs="Times New Roman"/>
          <w:sz w:val="28"/>
          <w:szCs w:val="28"/>
          <w:lang w:val="en-US"/>
        </w:rPr>
        <w:t>IRE</w:t>
      </w:r>
      <w:r w:rsidRPr="00C92781">
        <w:rPr>
          <w:rFonts w:ascii="Times New Roman" w:eastAsia="Times New Roman" w:hAnsi="Times New Roman" w:cs="Times New Roman"/>
          <w:sz w:val="28"/>
          <w:szCs w:val="28"/>
        </w:rPr>
        <w:t>, подразумевающего склонность саморегулируемой организации к интенсивности правоприменения</w:t>
      </w:r>
      <w:r w:rsidRPr="00C92781">
        <w:rPr>
          <w:rFonts w:ascii="Times New Roman" w:eastAsia="Times New Roman" w:hAnsi="Times New Roman" w:cs="Times New Roman"/>
          <w:sz w:val="28"/>
          <w:szCs w:val="28"/>
          <w:vertAlign w:val="superscript"/>
          <w:lang w:val="en-US"/>
        </w:rPr>
        <w:footnoteReference w:id="19"/>
      </w:r>
      <w:r w:rsidRPr="00C92781">
        <w:rPr>
          <w:rFonts w:ascii="Times New Roman" w:eastAsia="Times New Roman" w:hAnsi="Times New Roman" w:cs="Times New Roman"/>
          <w:sz w:val="28"/>
          <w:szCs w:val="28"/>
        </w:rPr>
        <w:t>.</w:t>
      </w:r>
      <w:proofErr w:type="gramEnd"/>
      <w:r w:rsidRPr="00C92781">
        <w:rPr>
          <w:rFonts w:ascii="Times New Roman" w:eastAsia="Times New Roman" w:hAnsi="Times New Roman" w:cs="Times New Roman"/>
          <w:sz w:val="28"/>
          <w:szCs w:val="28"/>
        </w:rPr>
        <w:t xml:space="preserve"> Данные показатели рассчитываются следующим образом: </w:t>
      </w: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m:oMathPara>
        <m:oMathParaPr>
          <m:jc m:val="center"/>
        </m:oMathParaPr>
        <m:oMath>
          <m:r>
            <w:rPr>
              <w:rFonts w:ascii="Cambria Math" w:eastAsia="Times New Roman" w:hAnsi="Cambria Math" w:cs="Times New Roman"/>
              <w:sz w:val="28"/>
              <w:szCs w:val="28"/>
            </w:rPr>
            <w:lastRenderedPageBreak/>
            <m:t>RE=</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D</m:t>
                  </m:r>
                </m:e>
                <m:sub>
                  <m:r>
                    <w:rPr>
                      <w:rFonts w:ascii="Cambria Math" w:eastAsia="Times New Roman" w:hAnsi="Cambria Math" w:cs="Times New Roman"/>
                      <w:sz w:val="28"/>
                      <w:szCs w:val="28"/>
                    </w:rPr>
                    <m:t>low</m:t>
                  </m:r>
                </m:sub>
              </m:sSub>
              <m:r>
                <w:rPr>
                  <w:rFonts w:ascii="Cambria Math" w:eastAsia="Times New Roman" w:hAnsi="Cambria Math" w:cs="Times New Roman"/>
                  <w:sz w:val="28"/>
                  <w:szCs w:val="28"/>
                </w:rPr>
                <m:t>-</m:t>
              </m:r>
              <m:r>
                <m:rPr>
                  <m:sty m:val="p"/>
                </m:rPr>
                <w:rPr>
                  <w:rFonts w:ascii="Cambria Math" w:eastAsia="Times New Roman" w:hAnsi="Cambria Math" w:cs="Times New Roman"/>
                  <w:sz w:val="28"/>
                  <w:szCs w:val="28"/>
                </w:rPr>
                <m:t>min⁡</m:t>
              </m:r>
              <m:r>
                <w:rPr>
                  <w:rFonts w:ascii="Cambria Math" w:eastAsia="Times New Roman" w:hAnsi="Cambria Math" w:cs="Times New Roman"/>
                  <w:sz w:val="28"/>
                  <w:szCs w:val="28"/>
                </w:rPr>
                <m:t>(D)</m:t>
              </m:r>
            </m:num>
            <m:den>
              <m:func>
                <m:funcPr>
                  <m:ctrlPr>
                    <w:rPr>
                      <w:rFonts w:ascii="Cambria Math" w:eastAsia="Times New Roman" w:hAnsi="Cambria Math" w:cs="Times New Roman"/>
                      <w:i/>
                      <w:sz w:val="28"/>
                      <w:szCs w:val="28"/>
                    </w:rPr>
                  </m:ctrlPr>
                </m:funcPr>
                <m:fName>
                  <m:r>
                    <m:rPr>
                      <m:sty m:val="p"/>
                    </m:rPr>
                    <w:rPr>
                      <w:rFonts w:ascii="Cambria Math" w:eastAsia="Times New Roman" w:hAnsi="Cambria Math" w:cs="Times New Roman"/>
                      <w:sz w:val="28"/>
                      <w:szCs w:val="28"/>
                    </w:rPr>
                    <m:t>max</m:t>
                  </m:r>
                </m:fName>
                <m:e>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D</m:t>
                      </m:r>
                    </m:e>
                  </m:d>
                  <m:r>
                    <w:rPr>
                      <w:rFonts w:ascii="Cambria Math" w:eastAsia="Times New Roman" w:hAnsi="Cambria Math" w:cs="Times New Roman"/>
                      <w:sz w:val="28"/>
                      <w:szCs w:val="28"/>
                    </w:rPr>
                    <m:t>-</m:t>
                  </m:r>
                </m:e>
              </m:func>
              <m:r>
                <m:rPr>
                  <m:sty m:val="p"/>
                </m:rPr>
                <w:rPr>
                  <w:rFonts w:ascii="Cambria Math" w:eastAsia="Times New Roman" w:hAnsi="Cambria Math" w:cs="Times New Roman"/>
                  <w:sz w:val="28"/>
                  <w:szCs w:val="28"/>
                </w:rPr>
                <m:t>min⁡</m:t>
              </m:r>
              <m:r>
                <w:rPr>
                  <w:rFonts w:ascii="Cambria Math" w:eastAsia="Times New Roman" w:hAnsi="Cambria Math" w:cs="Times New Roman"/>
                  <w:sz w:val="28"/>
                  <w:szCs w:val="28"/>
                </w:rPr>
                <m:t>(D)</m:t>
              </m:r>
            </m:den>
          </m:f>
        </m:oMath>
      </m:oMathPara>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m:oMathPara>
        <m:oMath>
          <m:r>
            <w:rPr>
              <w:rFonts w:ascii="Cambria Math" w:eastAsia="Times New Roman" w:hAnsi="Cambria Math" w:cs="Times New Roman"/>
              <w:sz w:val="28"/>
              <w:szCs w:val="28"/>
              <w:lang w:val="en-US"/>
            </w:rPr>
            <m:t>IRE</m:t>
          </m:r>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D</m:t>
                  </m:r>
                </m:e>
                <m:sub>
                  <m:r>
                    <w:rPr>
                      <w:rFonts w:ascii="Cambria Math" w:eastAsia="Times New Roman" w:hAnsi="Cambria Math" w:cs="Times New Roman"/>
                      <w:sz w:val="28"/>
                      <w:szCs w:val="28"/>
                    </w:rPr>
                    <m:t>up</m:t>
                  </m:r>
                </m:sub>
              </m:sSub>
              <m:r>
                <w:rPr>
                  <w:rFonts w:ascii="Cambria Math" w:eastAsia="Times New Roman" w:hAnsi="Cambria Math" w:cs="Times New Roman"/>
                  <w:sz w:val="28"/>
                  <w:szCs w:val="28"/>
                </w:rPr>
                <m:t>-</m:t>
              </m:r>
              <m:r>
                <m:rPr>
                  <m:sty m:val="p"/>
                </m:rPr>
                <w:rPr>
                  <w:rFonts w:ascii="Cambria Math" w:eastAsia="Times New Roman" w:hAnsi="Cambria Math" w:cs="Times New Roman"/>
                  <w:sz w:val="28"/>
                  <w:szCs w:val="28"/>
                </w:rPr>
                <m:t>min⁡</m:t>
              </m:r>
              <m:r>
                <w:rPr>
                  <w:rFonts w:ascii="Cambria Math" w:eastAsia="Times New Roman" w:hAnsi="Cambria Math" w:cs="Times New Roman"/>
                  <w:sz w:val="28"/>
                  <w:szCs w:val="28"/>
                </w:rPr>
                <m:t>(D)</m:t>
              </m:r>
            </m:num>
            <m:den>
              <m:func>
                <m:funcPr>
                  <m:ctrlPr>
                    <w:rPr>
                      <w:rFonts w:ascii="Cambria Math" w:eastAsia="Times New Roman" w:hAnsi="Cambria Math" w:cs="Times New Roman"/>
                      <w:i/>
                      <w:sz w:val="28"/>
                      <w:szCs w:val="28"/>
                    </w:rPr>
                  </m:ctrlPr>
                </m:funcPr>
                <m:fName>
                  <m:r>
                    <m:rPr>
                      <m:sty m:val="p"/>
                    </m:rPr>
                    <w:rPr>
                      <w:rFonts w:ascii="Cambria Math" w:eastAsia="Times New Roman" w:hAnsi="Cambria Math" w:cs="Times New Roman"/>
                      <w:sz w:val="28"/>
                      <w:szCs w:val="28"/>
                    </w:rPr>
                    <m:t>max</m:t>
                  </m:r>
                </m:fName>
                <m:e>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D</m:t>
                      </m:r>
                    </m:e>
                  </m:d>
                  <m:r>
                    <w:rPr>
                      <w:rFonts w:ascii="Cambria Math" w:eastAsia="Times New Roman" w:hAnsi="Cambria Math" w:cs="Times New Roman"/>
                      <w:sz w:val="28"/>
                      <w:szCs w:val="28"/>
                    </w:rPr>
                    <m:t>-</m:t>
                  </m:r>
                </m:e>
              </m:func>
              <m:r>
                <m:rPr>
                  <m:sty m:val="p"/>
                </m:rPr>
                <w:rPr>
                  <w:rFonts w:ascii="Cambria Math" w:eastAsia="Times New Roman" w:hAnsi="Cambria Math" w:cs="Times New Roman"/>
                  <w:sz w:val="28"/>
                  <w:szCs w:val="28"/>
                </w:rPr>
                <m:t>min⁡</m:t>
              </m:r>
              <m:r>
                <w:rPr>
                  <w:rFonts w:ascii="Cambria Math" w:eastAsia="Times New Roman" w:hAnsi="Cambria Math" w:cs="Times New Roman"/>
                  <w:sz w:val="28"/>
                  <w:szCs w:val="28"/>
                </w:rPr>
                <m:t>(D)</m:t>
              </m:r>
            </m:den>
          </m:f>
        </m:oMath>
      </m:oMathPara>
    </w:p>
    <w:p w:rsidR="00C92781" w:rsidRPr="00C92781" w:rsidRDefault="00C92781" w:rsidP="00C92781">
      <w:pPr>
        <w:spacing w:line="360" w:lineRule="auto"/>
        <w:jc w:val="both"/>
        <w:rPr>
          <w:rFonts w:ascii="Times New Roman" w:eastAsia="Times New Roman" w:hAnsi="Times New Roman" w:cs="Times New Roman"/>
          <w:sz w:val="28"/>
          <w:szCs w:val="28"/>
        </w:rPr>
      </w:pPr>
      <w:r w:rsidRPr="00C92781">
        <w:rPr>
          <w:rFonts w:ascii="Times New Roman" w:eastAsia="Times New Roman" w:hAnsi="Times New Roman" w:cs="Times New Roman"/>
          <w:noProof/>
          <w:sz w:val="28"/>
          <w:szCs w:val="28"/>
          <w:lang w:eastAsia="ru-RU"/>
        </w:rPr>
        <w:drawing>
          <wp:anchor distT="0" distB="0" distL="114300" distR="114300" simplePos="0" relativeHeight="251677696" behindDoc="0" locked="0" layoutInCell="1" allowOverlap="1" wp14:anchorId="6BF08DEE" wp14:editId="0681DC2D">
            <wp:simplePos x="0" y="0"/>
            <wp:positionH relativeFrom="column">
              <wp:posOffset>681990</wp:posOffset>
            </wp:positionH>
            <wp:positionV relativeFrom="paragraph">
              <wp:posOffset>2275840</wp:posOffset>
            </wp:positionV>
            <wp:extent cx="4584700" cy="2749550"/>
            <wp:effectExtent l="0" t="0" r="0" b="0"/>
            <wp:wrapTopAndBottom/>
            <wp:docPr id="1038" name="Рисунок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27495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988060</wp:posOffset>
                </wp:positionH>
                <wp:positionV relativeFrom="paragraph">
                  <wp:posOffset>1875790</wp:posOffset>
                </wp:positionV>
                <wp:extent cx="3856355" cy="361950"/>
                <wp:effectExtent l="0" t="0" r="3810" b="635"/>
                <wp:wrapTight wrapText="bothSides">
                  <wp:wrapPolygon edited="0">
                    <wp:start x="-50" y="0"/>
                    <wp:lineTo x="-50" y="21145"/>
                    <wp:lineTo x="21600" y="21145"/>
                    <wp:lineTo x="21600" y="0"/>
                    <wp:lineTo x="-50" y="0"/>
                  </wp:wrapPolygon>
                </wp:wrapTight>
                <wp:docPr id="1049" name="Поле 1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35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1A44A1" w:rsidRDefault="00DA0396" w:rsidP="00C92781">
                            <w:pPr>
                              <w:pStyle w:val="aa"/>
                              <w:jc w:val="center"/>
                              <w:rPr>
                                <w:rFonts w:ascii="Times New Roman" w:hAnsi="Times New Roman"/>
                                <w:noProof/>
                                <w:color w:val="000000" w:themeColor="text1"/>
                                <w:sz w:val="24"/>
                                <w:szCs w:val="24"/>
                              </w:rPr>
                            </w:pPr>
                            <w:r>
                              <w:rPr>
                                <w:rFonts w:ascii="Times New Roman" w:hAnsi="Times New Roman"/>
                                <w:color w:val="000000" w:themeColor="text1"/>
                                <w:sz w:val="24"/>
                                <w:szCs w:val="24"/>
                              </w:rPr>
                              <w:t>График 10: Относительные параметры предпочтений СРО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49" o:spid="_x0000_s1042" type="#_x0000_t202" style="position:absolute;left:0;text-align:left;margin-left:77.8pt;margin-top:147.7pt;width:303.6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" stroked="f">
                <v:textbox inset="0,0,0,0">
                  <w:txbxContent>
                    <w:p w:rsidR="00DA0396" w:rsidRPr="001A44A1" w:rsidRDefault="00DA0396" w:rsidP="00C92781">
                      <w:pPr>
                        <w:pStyle w:val="aa"/>
                        <w:jc w:val="center"/>
                        <w:rPr>
                          <w:rFonts w:ascii="Times New Roman" w:hAnsi="Times New Roman"/>
                          <w:noProof/>
                          <w:color w:val="000000" w:themeColor="text1"/>
                          <w:sz w:val="24"/>
                          <w:szCs w:val="24"/>
                        </w:rPr>
                      </w:pPr>
                      <w:r>
                        <w:rPr>
                          <w:rFonts w:ascii="Times New Roman" w:hAnsi="Times New Roman"/>
                          <w:color w:val="000000" w:themeColor="text1"/>
                          <w:sz w:val="24"/>
                          <w:szCs w:val="24"/>
                        </w:rPr>
                        <w:t>График 10: Относительные параметры предпочтений СРО</w:t>
                      </w:r>
                    </w:p>
                  </w:txbxContent>
                </v:textbox>
                <w10:wrap type="tight"/>
              </v:shape>
            </w:pict>
          </mc:Fallback>
        </mc:AlternateContent>
      </w:r>
      <w:r w:rsidRPr="00C92781">
        <w:rPr>
          <w:rFonts w:ascii="Times New Roman" w:eastAsia="Times New Roman" w:hAnsi="Times New Roman" w:cs="Times New Roman"/>
          <w:sz w:val="28"/>
          <w:szCs w:val="28"/>
        </w:rPr>
        <w:t xml:space="preserve">где </w:t>
      </w:r>
      <m:oMath>
        <m:r>
          <w:rPr>
            <w:rFonts w:ascii="Cambria Math" w:eastAsia="Times New Roman" w:hAnsi="Cambria Math" w:cs="Times New Roman"/>
            <w:sz w:val="28"/>
            <w:szCs w:val="28"/>
          </w:rPr>
          <m:t>D</m:t>
        </m:r>
      </m:oMath>
      <w:r w:rsidRPr="00C92781">
        <w:rPr>
          <w:rFonts w:ascii="Times New Roman" w:eastAsia="Times New Roman" w:hAnsi="Times New Roman" w:cs="Times New Roman"/>
          <w:sz w:val="28"/>
          <w:szCs w:val="28"/>
        </w:rPr>
        <w:t xml:space="preserve"> – состояния неэффективности рынка: минимальные и максимальные за год,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D</m:t>
            </m:r>
          </m:e>
          <m:sub>
            <m:r>
              <w:rPr>
                <w:rFonts w:ascii="Cambria Math" w:eastAsia="Times New Roman" w:hAnsi="Cambria Math" w:cs="Times New Roman"/>
                <w:sz w:val="28"/>
                <w:szCs w:val="28"/>
              </w:rPr>
              <m:t>low/</m:t>
            </m:r>
            <m:r>
              <w:rPr>
                <w:rFonts w:ascii="Cambria Math" w:eastAsia="Times New Roman" w:hAnsi="Cambria Math" w:cs="Times New Roman"/>
                <w:sz w:val="28"/>
                <w:szCs w:val="28"/>
                <w:lang w:val="en-US"/>
              </w:rPr>
              <m:t>up</m:t>
            </m:r>
          </m:sub>
        </m:sSub>
      </m:oMath>
      <w:r w:rsidRPr="00C92781">
        <w:rPr>
          <w:rFonts w:ascii="Times New Roman" w:eastAsia="Times New Roman" w:hAnsi="Times New Roman" w:cs="Times New Roman"/>
          <w:sz w:val="28"/>
          <w:szCs w:val="28"/>
        </w:rPr>
        <w:t xml:space="preserve"> – нижняя/верхняя граница предпочитаемого профучастниками интервала состояний неэффективности. Показатель </w:t>
      </w:r>
      <w:r w:rsidRPr="00C92781">
        <w:rPr>
          <w:rFonts w:ascii="Times New Roman" w:eastAsia="Times New Roman" w:hAnsi="Times New Roman" w:cs="Times New Roman"/>
          <w:sz w:val="28"/>
          <w:szCs w:val="28"/>
          <w:lang w:val="en-US"/>
        </w:rPr>
        <w:t>RE</w:t>
      </w:r>
      <w:r w:rsidRPr="00C92781">
        <w:rPr>
          <w:rFonts w:ascii="Times New Roman" w:eastAsia="Times New Roman" w:hAnsi="Times New Roman" w:cs="Times New Roman"/>
          <w:sz w:val="28"/>
          <w:szCs w:val="28"/>
        </w:rPr>
        <w:t xml:space="preserve"> связан с нижней границей интервала предпочтений и отклонениями от сильной степени эффективности рынка, тогда как </w:t>
      </w:r>
      <w:r w:rsidRPr="00C92781">
        <w:rPr>
          <w:rFonts w:ascii="Times New Roman" w:eastAsia="Times New Roman" w:hAnsi="Times New Roman" w:cs="Times New Roman"/>
          <w:sz w:val="28"/>
          <w:szCs w:val="28"/>
          <w:lang w:val="en-US"/>
        </w:rPr>
        <w:t>IRE</w:t>
      </w:r>
      <w:r w:rsidRPr="00C92781">
        <w:rPr>
          <w:rFonts w:ascii="Times New Roman" w:eastAsia="Times New Roman" w:hAnsi="Times New Roman" w:cs="Times New Roman"/>
          <w:sz w:val="28"/>
          <w:szCs w:val="28"/>
        </w:rPr>
        <w:t xml:space="preserve"> относится в большей степени к верхней границе и областям неэффективности. </w:t>
      </w:r>
    </w:p>
    <w:p w:rsidR="00C92781" w:rsidRPr="00C92781" w:rsidRDefault="00C92781" w:rsidP="00C9278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1245235</wp:posOffset>
                </wp:positionH>
                <wp:positionV relativeFrom="paragraph">
                  <wp:posOffset>3176270</wp:posOffset>
                </wp:positionV>
                <wp:extent cx="4024630" cy="200025"/>
                <wp:effectExtent l="0" t="4445" r="0" b="0"/>
                <wp:wrapTight wrapText="bothSides">
                  <wp:wrapPolygon edited="0">
                    <wp:start x="-51" y="0"/>
                    <wp:lineTo x="-51" y="21120"/>
                    <wp:lineTo x="21600" y="21120"/>
                    <wp:lineTo x="21600" y="0"/>
                    <wp:lineTo x="-51" y="0"/>
                  </wp:wrapPolygon>
                </wp:wrapTight>
                <wp:docPr id="1048" name="Поле 1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C052EA" w:rsidRDefault="00DA0396" w:rsidP="00C92781">
                            <w:pPr>
                              <w:pStyle w:val="aa"/>
                              <w:jc w:val="right"/>
                              <w:rPr>
                                <w:rFonts w:ascii="Times New Roman" w:hAnsi="Times New Roman"/>
                                <w:noProof/>
                                <w:color w:val="000000" w:themeColor="text1"/>
                                <w:sz w:val="20"/>
                                <w:szCs w:val="20"/>
                              </w:rPr>
                            </w:pPr>
                            <w:r>
                              <w:rPr>
                                <w:rFonts w:ascii="Times New Roman" w:hAnsi="Times New Roman"/>
                                <w:color w:val="000000" w:themeColor="text1"/>
                                <w:sz w:val="20"/>
                                <w:szCs w:val="20"/>
                              </w:rPr>
                              <w:t>Источник: собственные расчеты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48" o:spid="_x0000_s1043" type="#_x0000_t202" style="position:absolute;left:0;text-align:left;margin-left:98.05pt;margin-top:250.1pt;width:316.9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" stroked="f">
                <v:textbox inset="0,0,0,0">
                  <w:txbxContent>
                    <w:p w:rsidR="00DA0396" w:rsidRPr="00C052EA" w:rsidRDefault="00DA0396" w:rsidP="00C92781">
                      <w:pPr>
                        <w:pStyle w:val="aa"/>
                        <w:jc w:val="right"/>
                        <w:rPr>
                          <w:rFonts w:ascii="Times New Roman" w:hAnsi="Times New Roman"/>
                          <w:noProof/>
                          <w:color w:val="000000" w:themeColor="text1"/>
                          <w:sz w:val="20"/>
                          <w:szCs w:val="20"/>
                        </w:rPr>
                      </w:pPr>
                      <w:r>
                        <w:rPr>
                          <w:rFonts w:ascii="Times New Roman" w:hAnsi="Times New Roman"/>
                          <w:color w:val="000000" w:themeColor="text1"/>
                          <w:sz w:val="20"/>
                          <w:szCs w:val="20"/>
                        </w:rPr>
                        <w:t>Источник: собственные расчеты</w:t>
                      </w:r>
                    </w:p>
                  </w:txbxContent>
                </v:textbox>
                <w10:wrap type="tight"/>
              </v:shape>
            </w:pict>
          </mc:Fallback>
        </mc:AlternateContent>
      </w: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r w:rsidRPr="00C92781">
        <w:rPr>
          <w:rFonts w:ascii="Times New Roman" w:eastAsia="Times New Roman" w:hAnsi="Times New Roman" w:cs="Times New Roman"/>
          <w:sz w:val="28"/>
          <w:szCs w:val="28"/>
        </w:rPr>
        <w:t>Оба параметра рассчитывались для каждого года и представлены на графике 10. Данные показатели отражают глубину конфликта интересов в саморегулируемой организации</w:t>
      </w:r>
      <w:r w:rsidRPr="00C92781">
        <w:rPr>
          <w:rFonts w:ascii="Times New Roman" w:eastAsia="Times New Roman" w:hAnsi="Times New Roman" w:cs="Times New Roman"/>
          <w:sz w:val="28"/>
          <w:szCs w:val="28"/>
          <w:vertAlign w:val="superscript"/>
        </w:rPr>
        <w:footnoteReference w:id="20"/>
      </w:r>
      <w:r w:rsidRPr="00C92781">
        <w:rPr>
          <w:rFonts w:ascii="Times New Roman" w:eastAsia="Times New Roman" w:hAnsi="Times New Roman" w:cs="Times New Roman"/>
          <w:sz w:val="28"/>
          <w:szCs w:val="28"/>
        </w:rPr>
        <w:t xml:space="preserve">. Их рост свидетельствует об увеличивающемся несоответствии коммерческих интересов членов биржи её регулятивным целям, тогда как снижение говорит о приверженности </w:t>
      </w:r>
      <w:r w:rsidRPr="00C92781">
        <w:rPr>
          <w:rFonts w:ascii="Times New Roman" w:eastAsia="Times New Roman" w:hAnsi="Times New Roman" w:cs="Times New Roman"/>
          <w:sz w:val="28"/>
          <w:szCs w:val="28"/>
        </w:rPr>
        <w:lastRenderedPageBreak/>
        <w:t xml:space="preserve">саморегулируемой организации интересам общества. Согласно полученным результатам, параметр </w:t>
      </w:r>
      <w:r w:rsidRPr="00C92781">
        <w:rPr>
          <w:rFonts w:ascii="Times New Roman" w:eastAsia="Times New Roman" w:hAnsi="Times New Roman" w:cs="Times New Roman"/>
          <w:sz w:val="28"/>
          <w:szCs w:val="28"/>
          <w:lang w:val="en-US"/>
        </w:rPr>
        <w:t>RE</w:t>
      </w:r>
      <w:r w:rsidRPr="00C92781">
        <w:rPr>
          <w:rFonts w:ascii="Times New Roman" w:eastAsia="Times New Roman" w:hAnsi="Times New Roman" w:cs="Times New Roman"/>
          <w:sz w:val="28"/>
          <w:szCs w:val="28"/>
        </w:rPr>
        <w:t xml:space="preserve">, отвечающий за нормотворческие функции, за рассматриваемые девять лет стабилен: его изменения наблюдаются в диапазоне от 0 до 0,2. Австралийская фондовая биржа </w:t>
      </w:r>
      <w:r w:rsidRPr="00C92781">
        <w:rPr>
          <w:rFonts w:ascii="Times New Roman" w:eastAsia="Calibri" w:hAnsi="Times New Roman" w:cs="Times New Roman"/>
          <w:sz w:val="28"/>
          <w:szCs w:val="28"/>
        </w:rPr>
        <w:t xml:space="preserve">наделена широким кругом полномочий в </w:t>
      </w:r>
      <w:r w:rsidRPr="00C92781">
        <w:rPr>
          <w:rFonts w:ascii="Times New Roman" w:eastAsia="Times New Roman" w:hAnsi="Times New Roman" w:cs="Times New Roman"/>
          <w:sz w:val="28"/>
          <w:szCs w:val="28"/>
        </w:rPr>
        <w:t>регулировании финансового рынка. С</w:t>
      </w:r>
      <w:r w:rsidRPr="00C92781">
        <w:rPr>
          <w:rFonts w:ascii="Times New Roman" w:eastAsia="Calibri" w:hAnsi="Times New Roman" w:cs="Times New Roman"/>
          <w:sz w:val="28"/>
          <w:szCs w:val="28"/>
        </w:rPr>
        <w:t xml:space="preserve">оставление торговых правил, требований к листингу и текущему раскрытию информации, определение фидуциарных обязательств и правил ведения бизнеса относятся к её компетенции. Однако нормотворческая инициатива в большинстве случаев принадлежит центральному Правительству. </w:t>
      </w:r>
      <w:r w:rsidRPr="00C92781">
        <w:rPr>
          <w:rFonts w:ascii="Times New Roman" w:eastAsia="Times New Roman" w:hAnsi="Times New Roman" w:cs="Times New Roman"/>
          <w:sz w:val="28"/>
          <w:szCs w:val="28"/>
        </w:rPr>
        <w:t xml:space="preserve">Выявленная тенденция может свидетельствовать о том, что биржа успешно реализует предоставленные ей возможности по усовершенствованию существующих стандартов и разработке новой наилучшей практики для членов биржи и сторонних инвесторов. Стабильность параметра </w:t>
      </w:r>
      <w:r w:rsidRPr="00C92781">
        <w:rPr>
          <w:rFonts w:ascii="Times New Roman" w:eastAsia="Times New Roman" w:hAnsi="Times New Roman" w:cs="Times New Roman"/>
          <w:sz w:val="28"/>
          <w:szCs w:val="28"/>
          <w:lang w:val="en-US"/>
        </w:rPr>
        <w:t>RE</w:t>
      </w:r>
      <w:r w:rsidRPr="00C92781">
        <w:rPr>
          <w:rFonts w:ascii="Times New Roman" w:eastAsia="Times New Roman" w:hAnsi="Times New Roman" w:cs="Times New Roman"/>
          <w:sz w:val="28"/>
          <w:szCs w:val="28"/>
        </w:rPr>
        <w:t xml:space="preserve"> показывает, что нормотворческий процесс в системе </w:t>
      </w:r>
      <w:r w:rsidRPr="00C92781">
        <w:rPr>
          <w:rFonts w:ascii="Times New Roman" w:eastAsia="Times New Roman" w:hAnsi="Times New Roman" w:cs="Times New Roman"/>
          <w:sz w:val="28"/>
          <w:szCs w:val="28"/>
          <w:lang w:val="en-US"/>
        </w:rPr>
        <w:t>Twin</w:t>
      </w:r>
      <w:r w:rsidRPr="00C92781">
        <w:rPr>
          <w:rFonts w:ascii="Times New Roman" w:eastAsia="Times New Roman" w:hAnsi="Times New Roman" w:cs="Times New Roman"/>
          <w:sz w:val="28"/>
          <w:szCs w:val="28"/>
        </w:rPr>
        <w:t xml:space="preserve"> </w:t>
      </w:r>
      <w:r w:rsidRPr="00C92781">
        <w:rPr>
          <w:rFonts w:ascii="Times New Roman" w:eastAsia="Times New Roman" w:hAnsi="Times New Roman" w:cs="Times New Roman"/>
          <w:sz w:val="28"/>
          <w:szCs w:val="28"/>
          <w:lang w:val="en-US"/>
        </w:rPr>
        <w:t>Peaks</w:t>
      </w:r>
      <w:r w:rsidRPr="00C92781">
        <w:rPr>
          <w:rFonts w:ascii="Times New Roman" w:eastAsia="Times New Roman" w:hAnsi="Times New Roman" w:cs="Times New Roman"/>
          <w:sz w:val="28"/>
          <w:szCs w:val="28"/>
        </w:rPr>
        <w:t xml:space="preserve"> налажен, и что у Правительства и суверенных регуляторов нет необходимости в него вмешиваться. </w:t>
      </w: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r w:rsidRPr="00C92781">
        <w:rPr>
          <w:rFonts w:ascii="Times New Roman" w:eastAsia="Times New Roman" w:hAnsi="Times New Roman" w:cs="Times New Roman"/>
          <w:sz w:val="28"/>
          <w:szCs w:val="28"/>
        </w:rPr>
        <w:t xml:space="preserve">Показатель </w:t>
      </w:r>
      <w:r w:rsidRPr="00C92781">
        <w:rPr>
          <w:rFonts w:ascii="Times New Roman" w:eastAsia="Times New Roman" w:hAnsi="Times New Roman" w:cs="Times New Roman"/>
          <w:sz w:val="28"/>
          <w:szCs w:val="28"/>
          <w:lang w:val="en-US"/>
        </w:rPr>
        <w:t>IRE</w:t>
      </w:r>
      <w:r w:rsidRPr="00C92781">
        <w:rPr>
          <w:rFonts w:ascii="Times New Roman" w:eastAsia="Times New Roman" w:hAnsi="Times New Roman" w:cs="Times New Roman"/>
          <w:sz w:val="28"/>
          <w:szCs w:val="28"/>
        </w:rPr>
        <w:t xml:space="preserve">, отражающий интенсивность правоприменения, более волатилен. Рост параметра в 2004 году и его последующее снижение в 2005 описывалось ранее. Расширение полномочий Австралийской комиссии по ценным бумагам и инвестициям в области правоприменения в связи с возросшим количеством нарушений, а также заключение меморандума с австралийской фондовой биржей для еще большего финансового мониторинга могут классифицироваться как регулятивные решения правоприменительного характера, снизившие параметр </w:t>
      </w:r>
      <w:r w:rsidRPr="00C92781">
        <w:rPr>
          <w:rFonts w:ascii="Times New Roman" w:eastAsia="Times New Roman" w:hAnsi="Times New Roman" w:cs="Times New Roman"/>
          <w:sz w:val="28"/>
          <w:szCs w:val="28"/>
          <w:lang w:val="en-US"/>
        </w:rPr>
        <w:t>IRE</w:t>
      </w:r>
      <w:r w:rsidRPr="00C92781">
        <w:rPr>
          <w:rFonts w:ascii="Times New Roman" w:eastAsia="Times New Roman" w:hAnsi="Times New Roman" w:cs="Times New Roman"/>
          <w:sz w:val="28"/>
          <w:szCs w:val="28"/>
        </w:rPr>
        <w:t xml:space="preserve"> в 2005 году.  </w:t>
      </w: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r w:rsidRPr="00C92781">
        <w:rPr>
          <w:rFonts w:ascii="Times New Roman" w:eastAsia="Times New Roman" w:hAnsi="Times New Roman" w:cs="Times New Roman"/>
          <w:sz w:val="28"/>
          <w:szCs w:val="28"/>
        </w:rPr>
        <w:t xml:space="preserve">Одним из последствий финансового кризиса 2008 года стали смятение и неопределенность на мировых рынках. В таких условиях возросла вероятность получения значительной финансовой выгоды путем различных манипуляций. Распространение заведомо ложной информации и использование коротких продаж с целью снижения цен акций были </w:t>
      </w:r>
      <w:r w:rsidRPr="00C92781">
        <w:rPr>
          <w:rFonts w:ascii="Times New Roman" w:eastAsia="Times New Roman" w:hAnsi="Times New Roman" w:cs="Times New Roman"/>
          <w:sz w:val="28"/>
          <w:szCs w:val="28"/>
        </w:rPr>
        <w:lastRenderedPageBreak/>
        <w:t>зафиксированы в Австралии в 2009 году в большом количестве</w:t>
      </w:r>
      <w:r w:rsidRPr="00C92781">
        <w:rPr>
          <w:rFonts w:ascii="Times New Roman" w:eastAsia="Times New Roman" w:hAnsi="Times New Roman" w:cs="Times New Roman"/>
          <w:sz w:val="28"/>
          <w:szCs w:val="28"/>
          <w:vertAlign w:val="superscript"/>
        </w:rPr>
        <w:footnoteReference w:id="21"/>
      </w:r>
      <w:r w:rsidRPr="00C92781">
        <w:rPr>
          <w:rFonts w:ascii="Times New Roman" w:eastAsia="Times New Roman" w:hAnsi="Times New Roman" w:cs="Times New Roman"/>
          <w:sz w:val="28"/>
          <w:szCs w:val="28"/>
        </w:rPr>
        <w:t xml:space="preserve">. Вследствие этого были внесены поправки к закону </w:t>
      </w:r>
      <w:r w:rsidRPr="00C92781">
        <w:rPr>
          <w:rFonts w:ascii="Times New Roman" w:eastAsia="Times New Roman" w:hAnsi="Times New Roman" w:cs="Times New Roman"/>
          <w:i/>
          <w:sz w:val="28"/>
          <w:szCs w:val="28"/>
          <w:lang w:val="en-US"/>
        </w:rPr>
        <w:t>Corporations</w:t>
      </w:r>
      <w:r w:rsidRPr="00C92781">
        <w:rPr>
          <w:rFonts w:ascii="Times New Roman" w:eastAsia="Times New Roman" w:hAnsi="Times New Roman" w:cs="Times New Roman"/>
          <w:i/>
          <w:sz w:val="28"/>
          <w:szCs w:val="28"/>
        </w:rPr>
        <w:t xml:space="preserve"> </w:t>
      </w:r>
      <w:r w:rsidRPr="00C92781">
        <w:rPr>
          <w:rFonts w:ascii="Times New Roman" w:eastAsia="Times New Roman" w:hAnsi="Times New Roman" w:cs="Times New Roman"/>
          <w:i/>
          <w:sz w:val="28"/>
          <w:szCs w:val="28"/>
          <w:lang w:val="en-US"/>
        </w:rPr>
        <w:t>act</w:t>
      </w:r>
      <w:r w:rsidRPr="00C92781">
        <w:rPr>
          <w:rFonts w:ascii="Times New Roman" w:eastAsia="Times New Roman" w:hAnsi="Times New Roman" w:cs="Times New Roman"/>
          <w:i/>
          <w:sz w:val="28"/>
          <w:szCs w:val="28"/>
        </w:rPr>
        <w:t xml:space="preserve"> 2001</w:t>
      </w:r>
      <w:r w:rsidRPr="00C92781">
        <w:rPr>
          <w:rFonts w:ascii="Times New Roman" w:eastAsia="Times New Roman" w:hAnsi="Times New Roman" w:cs="Times New Roman"/>
          <w:sz w:val="28"/>
          <w:szCs w:val="28"/>
        </w:rPr>
        <w:t xml:space="preserve">, дополняющие вопросы по манипулированию рынка и распространению ложной информации. Данными событиями можно объяснить увеличение показателя </w:t>
      </w:r>
      <w:r w:rsidRPr="00C92781">
        <w:rPr>
          <w:rFonts w:ascii="Times New Roman" w:eastAsia="Times New Roman" w:hAnsi="Times New Roman" w:cs="Times New Roman"/>
          <w:sz w:val="28"/>
          <w:szCs w:val="28"/>
          <w:lang w:val="en-US"/>
        </w:rPr>
        <w:t>IRE</w:t>
      </w:r>
      <w:r w:rsidRPr="00C92781">
        <w:rPr>
          <w:rFonts w:ascii="Times New Roman" w:eastAsia="Times New Roman" w:hAnsi="Times New Roman" w:cs="Times New Roman"/>
          <w:sz w:val="28"/>
          <w:szCs w:val="28"/>
        </w:rPr>
        <w:t xml:space="preserve"> в 2009 году и его последующее снижение. </w:t>
      </w: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r w:rsidRPr="00C92781">
        <w:rPr>
          <w:rFonts w:ascii="Times New Roman" w:eastAsia="Times New Roman" w:hAnsi="Times New Roman" w:cs="Times New Roman"/>
          <w:sz w:val="28"/>
          <w:szCs w:val="28"/>
        </w:rPr>
        <w:t xml:space="preserve">Следующим критерием оценки поведения профучастников является их накопленная доходность в рассчитанных интервалах предпочтений неэффективности. Показатель доходности был вычислен при выявлении структуры индивидуальных предпочтений на этапе построения матрицы </w:t>
      </w:r>
      <m:oMath>
        <m:r>
          <w:rPr>
            <w:rFonts w:ascii="Cambria Math" w:eastAsia="Calibri" w:hAnsi="Cambria Math" w:cs="Times New Roman"/>
            <w:sz w:val="28"/>
            <w:szCs w:val="28"/>
          </w:rPr>
          <m:t>d</m:t>
        </m:r>
      </m:oMath>
      <w:r w:rsidRPr="00C92781">
        <w:rPr>
          <w:rFonts w:ascii="Times New Roman" w:eastAsia="Times New Roman" w:hAnsi="Times New Roman" w:cs="Times New Roman"/>
          <w:sz w:val="28"/>
          <w:szCs w:val="28"/>
        </w:rPr>
        <w:t xml:space="preserve"> из элементов функции стоимости портфеля. С помощью полученных данных оценивается поведение профучастников на контрастных типах рынка. Для этого интервал предпочтений каждого профучастника усредняется, после чего получается два ряда данных для каждого года – средние интервалов предпочтений неэффективности и значения накопленной доходности в этом промежутке. Под контрастными типами рынка подразумеваются полученные ряды данных, упорядоченные по возрастанию состояний неэффективности и разделенные по медиане. Для сравнения этих типов рынка проверялась гипотеза о равенстве математических ожиданий (таблица 11, приложение). В трех из девяти рассматриваемых случаев гипотеза отвергалась на 5% уровне значимости, что подразумевает принципиальность профучастников в выборе того или иного типа рынка в 2005, 2007 и 2008 годах. В остальное время профучастники были безразличны к выбору одного из контрастных типов рынка. Помимо этого, была рассчитана средняя доходность, получаемая профучастниками на разных типах рынка в рамках каждого года. Больший процент доходности профучастники получали на более эффективном рынке также в 2005, 2007 и 2008 годах. Это может свидетельствовать о конфликте интересов, так как профучастниками движет стремление максимизировать стоимость портфеля. Они не безразличны к выбору состояний </w:t>
      </w:r>
      <w:r w:rsidRPr="00C92781">
        <w:rPr>
          <w:rFonts w:ascii="Times New Roman" w:eastAsia="Times New Roman" w:hAnsi="Times New Roman" w:cs="Times New Roman"/>
          <w:sz w:val="28"/>
          <w:szCs w:val="28"/>
        </w:rPr>
        <w:lastRenderedPageBreak/>
        <w:t xml:space="preserve">неэффективности именно в те года, когда возможно получить максимальную доходность на более эффективном рынке. </w:t>
      </w: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r w:rsidRPr="00C92781">
        <w:rPr>
          <w:rFonts w:ascii="Times New Roman" w:eastAsia="Times New Roman" w:hAnsi="Times New Roman" w:cs="Times New Roman"/>
          <w:sz w:val="28"/>
          <w:szCs w:val="28"/>
        </w:rPr>
        <w:t xml:space="preserve">В соответствии с выявленной структурой индивидуальных предпочтений, профучастники склонны максимизировать стоимости своих портфелей в областях выше минимальной неэффективности рынка. Согласно показателям накопленной доходности, профучастники предпочитают состояния меньшей неэффективности рынка в стремлении получить большую доходность. Два этих факта свидетельствуют о наличии конфликта интересов внутри саморегулируемой организации. Однако профучастники в то же время не предпочитают состояния сильной неэффективности рынка, о чем говорит удаленность верхних границ интервалов от эмпирических максимумов состояний неэффективности. Анализ относительных параметров предпочтений саморегулируемых организаций </w:t>
      </w:r>
      <w:r w:rsidRPr="00C92781">
        <w:rPr>
          <w:rFonts w:ascii="Times New Roman" w:eastAsia="Times New Roman" w:hAnsi="Times New Roman" w:cs="Times New Roman"/>
          <w:sz w:val="28"/>
          <w:szCs w:val="28"/>
          <w:lang w:val="en-US"/>
        </w:rPr>
        <w:t>RE</w:t>
      </w:r>
      <w:r w:rsidRPr="00C92781">
        <w:rPr>
          <w:rFonts w:ascii="Times New Roman" w:eastAsia="Times New Roman" w:hAnsi="Times New Roman" w:cs="Times New Roman"/>
          <w:sz w:val="28"/>
          <w:szCs w:val="28"/>
        </w:rPr>
        <w:t xml:space="preserve"> и </w:t>
      </w:r>
      <w:r w:rsidRPr="00C92781">
        <w:rPr>
          <w:rFonts w:ascii="Times New Roman" w:eastAsia="Times New Roman" w:hAnsi="Times New Roman" w:cs="Times New Roman"/>
          <w:sz w:val="28"/>
          <w:szCs w:val="28"/>
          <w:lang w:val="en-US"/>
        </w:rPr>
        <w:t>IRE</w:t>
      </w:r>
      <w:r w:rsidRPr="00C92781">
        <w:rPr>
          <w:rFonts w:ascii="Times New Roman" w:eastAsia="Times New Roman" w:hAnsi="Times New Roman" w:cs="Times New Roman"/>
          <w:sz w:val="28"/>
          <w:szCs w:val="28"/>
        </w:rPr>
        <w:t xml:space="preserve"> показал, что нормотворческий процесс в Австралии организован максимально эффективно, о чем свидетельствует стабильность показателя </w:t>
      </w:r>
      <w:r w:rsidRPr="00C92781">
        <w:rPr>
          <w:rFonts w:ascii="Times New Roman" w:eastAsia="Times New Roman" w:hAnsi="Times New Roman" w:cs="Times New Roman"/>
          <w:sz w:val="28"/>
          <w:szCs w:val="28"/>
          <w:lang w:val="en-US"/>
        </w:rPr>
        <w:t>RE</w:t>
      </w:r>
      <w:r w:rsidRPr="00C92781">
        <w:rPr>
          <w:rFonts w:ascii="Times New Roman" w:eastAsia="Times New Roman" w:hAnsi="Times New Roman" w:cs="Times New Roman"/>
          <w:sz w:val="28"/>
          <w:szCs w:val="28"/>
        </w:rPr>
        <w:t xml:space="preserve"> на протяжении рассматриваемого периода. Область правоприменения в Австралии относится к компетенции суверенных регуляторов, а также Правительства. Данные учреждения вмешиваются в деятельность австралийской фондовой биржи в случае фиксирования аномального числа нарушений. Результатами таких вмешательств являются регулятивные решения разного рода – от расширения полномочий регулирующих органов до изменения существующего законодательства. </w:t>
      </w:r>
    </w:p>
    <w:p w:rsidR="00C92781" w:rsidRPr="00C92781" w:rsidRDefault="00C92781" w:rsidP="00C92781">
      <w:pPr>
        <w:spacing w:line="360" w:lineRule="auto"/>
        <w:jc w:val="both"/>
        <w:rPr>
          <w:rFonts w:ascii="Times New Roman" w:eastAsia="Times New Roman" w:hAnsi="Times New Roman" w:cs="Times New Roman"/>
          <w:sz w:val="28"/>
          <w:szCs w:val="28"/>
        </w:rPr>
      </w:pPr>
    </w:p>
    <w:p w:rsidR="00C92781" w:rsidRPr="00C92781" w:rsidRDefault="00C92781" w:rsidP="00C92781">
      <w:pPr>
        <w:spacing w:line="360" w:lineRule="auto"/>
        <w:jc w:val="both"/>
        <w:rPr>
          <w:rFonts w:ascii="Times New Roman" w:eastAsia="Times New Roman" w:hAnsi="Times New Roman" w:cs="Times New Roman"/>
          <w:b/>
          <w:sz w:val="28"/>
          <w:szCs w:val="28"/>
        </w:rPr>
      </w:pPr>
      <w:r w:rsidRPr="00C92781">
        <w:rPr>
          <w:rFonts w:ascii="Times New Roman" w:eastAsia="Times New Roman" w:hAnsi="Times New Roman" w:cs="Times New Roman"/>
          <w:b/>
          <w:sz w:val="28"/>
          <w:szCs w:val="28"/>
        </w:rPr>
        <w:t>3.4. Сравнение интервалов предпочтений профучастников в Австралии и США</w:t>
      </w:r>
    </w:p>
    <w:p w:rsidR="00C92781" w:rsidRPr="00C92781" w:rsidRDefault="00C92781" w:rsidP="00C92781">
      <w:pPr>
        <w:spacing w:line="360" w:lineRule="auto"/>
        <w:jc w:val="both"/>
        <w:rPr>
          <w:rFonts w:ascii="Times New Roman" w:eastAsia="Times New Roman" w:hAnsi="Times New Roman" w:cs="Times New Roman"/>
          <w:b/>
          <w:sz w:val="28"/>
          <w:szCs w:val="28"/>
        </w:rPr>
      </w:pPr>
    </w:p>
    <w:p w:rsidR="00C92781" w:rsidRPr="00C92781" w:rsidRDefault="00C92781" w:rsidP="00C92781">
      <w:pPr>
        <w:spacing w:line="360" w:lineRule="auto"/>
        <w:jc w:val="both"/>
        <w:rPr>
          <w:rFonts w:ascii="Times New Roman" w:eastAsia="Times New Roman" w:hAnsi="Times New Roman" w:cs="Times New Roman"/>
          <w:b/>
          <w:sz w:val="28"/>
          <w:szCs w:val="28"/>
        </w:rPr>
      </w:pPr>
      <w:r w:rsidRPr="00C92781">
        <w:rPr>
          <w:rFonts w:ascii="Times New Roman" w:eastAsia="Times New Roman" w:hAnsi="Times New Roman" w:cs="Times New Roman"/>
          <w:b/>
          <w:sz w:val="28"/>
          <w:szCs w:val="28"/>
        </w:rPr>
        <w:tab/>
      </w:r>
      <w:r w:rsidRPr="00C92781">
        <w:rPr>
          <w:rFonts w:ascii="Times New Roman" w:eastAsia="Times New Roman" w:hAnsi="Times New Roman" w:cs="Times New Roman"/>
          <w:sz w:val="28"/>
          <w:szCs w:val="28"/>
        </w:rPr>
        <w:t xml:space="preserve">Для вынесения решения об эффективности австралийской системы регулирования финансового рынка проводится сравнение полученных </w:t>
      </w:r>
      <w:r w:rsidRPr="00C92781">
        <w:rPr>
          <w:rFonts w:ascii="Times New Roman" w:eastAsia="Times New Roman" w:hAnsi="Times New Roman" w:cs="Times New Roman"/>
          <w:sz w:val="28"/>
          <w:szCs w:val="28"/>
        </w:rPr>
        <w:lastRenderedPageBreak/>
        <w:t>результатов с аналогичными данными по США, представленными на графике 12</w:t>
      </w:r>
      <w:r w:rsidRPr="00C92781">
        <w:rPr>
          <w:rFonts w:ascii="Times New Roman" w:eastAsia="Times New Roman" w:hAnsi="Times New Roman" w:cs="Times New Roman"/>
          <w:sz w:val="28"/>
          <w:szCs w:val="28"/>
          <w:vertAlign w:val="superscript"/>
        </w:rPr>
        <w:footnoteReference w:id="22"/>
      </w:r>
      <w:r w:rsidRPr="00C92781">
        <w:rPr>
          <w:rFonts w:ascii="Times New Roman" w:eastAsia="Times New Roman" w:hAnsi="Times New Roman" w:cs="Times New Roman"/>
          <w:sz w:val="28"/>
          <w:szCs w:val="28"/>
        </w:rPr>
        <w:t>.</w:t>
      </w:r>
    </w:p>
    <w:p w:rsidR="00C92781" w:rsidRPr="00C92781" w:rsidRDefault="00C92781" w:rsidP="00C92781">
      <w:pPr>
        <w:spacing w:line="360" w:lineRule="auto"/>
        <w:jc w:val="both"/>
        <w:rPr>
          <w:rFonts w:ascii="Times New Roman" w:eastAsia="Times New Roman" w:hAnsi="Times New Roman" w:cs="Times New Roman"/>
          <w:sz w:val="28"/>
          <w:szCs w:val="28"/>
        </w:rPr>
      </w:pPr>
      <w:r>
        <w:rPr>
          <w:rFonts w:ascii="Calibri" w:eastAsia="Calibri" w:hAnsi="Calibri" w:cs="Times New Roman"/>
          <w:noProof/>
          <w:lang w:eastAsia="ru-RU"/>
        </w:rPr>
        <mc:AlternateContent>
          <mc:Choice Requires="wps">
            <w:drawing>
              <wp:anchor distT="0" distB="0" distL="114300" distR="114300" simplePos="0" relativeHeight="251681792" behindDoc="0" locked="0" layoutInCell="1" allowOverlap="1">
                <wp:simplePos x="0" y="0"/>
                <wp:positionH relativeFrom="column">
                  <wp:posOffset>1007110</wp:posOffset>
                </wp:positionH>
                <wp:positionV relativeFrom="paragraph">
                  <wp:posOffset>99060</wp:posOffset>
                </wp:positionV>
                <wp:extent cx="3856355" cy="361950"/>
                <wp:effectExtent l="0" t="3810" r="3810" b="0"/>
                <wp:wrapTight wrapText="bothSides">
                  <wp:wrapPolygon edited="0">
                    <wp:start x="-50" y="0"/>
                    <wp:lineTo x="-50" y="21145"/>
                    <wp:lineTo x="21600" y="21145"/>
                    <wp:lineTo x="21600" y="0"/>
                    <wp:lineTo x="-50" y="0"/>
                  </wp:wrapPolygon>
                </wp:wrapTight>
                <wp:docPr id="1047" name="Поле 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35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1A44A1" w:rsidRDefault="00DA0396" w:rsidP="00C92781">
                            <w:pPr>
                              <w:pStyle w:val="aa"/>
                              <w:jc w:val="center"/>
                              <w:rPr>
                                <w:rFonts w:ascii="Times New Roman" w:hAnsi="Times New Roman"/>
                                <w:noProof/>
                                <w:color w:val="000000" w:themeColor="text1"/>
                                <w:sz w:val="24"/>
                                <w:szCs w:val="24"/>
                              </w:rPr>
                            </w:pPr>
                            <w:r>
                              <w:rPr>
                                <w:rFonts w:ascii="Times New Roman" w:hAnsi="Times New Roman"/>
                                <w:color w:val="000000" w:themeColor="text1"/>
                                <w:sz w:val="24"/>
                                <w:szCs w:val="24"/>
                              </w:rPr>
                              <w:t>График 12: Усредненные интервалы предпочтений неэффективности рынка в США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47" o:spid="_x0000_s1044" type="#_x0000_t202" style="position:absolute;left:0;text-align:left;margin-left:79.3pt;margin-top:7.8pt;width:303.65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" stroked="f">
                <v:textbox inset="0,0,0,0">
                  <w:txbxContent>
                    <w:p w:rsidR="00DA0396" w:rsidRPr="001A44A1" w:rsidRDefault="00DA0396" w:rsidP="00C92781">
                      <w:pPr>
                        <w:pStyle w:val="aa"/>
                        <w:jc w:val="center"/>
                        <w:rPr>
                          <w:rFonts w:ascii="Times New Roman" w:hAnsi="Times New Roman"/>
                          <w:noProof/>
                          <w:color w:val="000000" w:themeColor="text1"/>
                          <w:sz w:val="24"/>
                          <w:szCs w:val="24"/>
                        </w:rPr>
                      </w:pPr>
                      <w:r>
                        <w:rPr>
                          <w:rFonts w:ascii="Times New Roman" w:hAnsi="Times New Roman"/>
                          <w:color w:val="000000" w:themeColor="text1"/>
                          <w:sz w:val="24"/>
                          <w:szCs w:val="24"/>
                        </w:rPr>
                        <w:t>График 12: Усредненные интервалы предпочтений неэффективности рынка в США</w:t>
                      </w:r>
                    </w:p>
                  </w:txbxContent>
                </v:textbox>
                <w10:wrap type="tight"/>
              </v:shape>
            </w:pict>
          </mc:Fallback>
        </mc:AlternateContent>
      </w:r>
      <w:r w:rsidRPr="00C92781">
        <w:rPr>
          <w:rFonts w:ascii="Calibri" w:eastAsia="Calibri" w:hAnsi="Calibri" w:cs="Times New Roman"/>
          <w:noProof/>
          <w:lang w:eastAsia="ru-RU"/>
        </w:rPr>
        <w:drawing>
          <wp:anchor distT="0" distB="0" distL="114300" distR="114300" simplePos="0" relativeHeight="251680768" behindDoc="0" locked="0" layoutInCell="1" allowOverlap="1" wp14:anchorId="3EE84F70" wp14:editId="713C5227">
            <wp:simplePos x="0" y="0"/>
            <wp:positionH relativeFrom="column">
              <wp:posOffset>-32385</wp:posOffset>
            </wp:positionH>
            <wp:positionV relativeFrom="paragraph">
              <wp:posOffset>541020</wp:posOffset>
            </wp:positionV>
            <wp:extent cx="5940425" cy="3138805"/>
            <wp:effectExtent l="0" t="0" r="0" b="0"/>
            <wp:wrapTopAndBottom/>
            <wp:docPr id="1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0425" cy="3138805"/>
                    </a:xfrm>
                    <a:prstGeom prst="rect">
                      <a:avLst/>
                    </a:prstGeom>
                    <a:noFill/>
                    <a:ln w="1">
                      <a:noFill/>
                      <a:miter lim="800000"/>
                      <a:headEnd/>
                      <a:tailEnd type="none" w="med" len="med"/>
                    </a:ln>
                    <a:effectLst/>
                  </pic:spPr>
                </pic:pic>
              </a:graphicData>
            </a:graphic>
            <wp14:sizeRelH relativeFrom="page">
              <wp14:pctWidth>0</wp14:pctWidth>
            </wp14:sizeRelH>
            <wp14:sizeRelV relativeFrom="page">
              <wp14:pctHeight>0</wp14:pctHeight>
            </wp14:sizeRelV>
          </wp:anchor>
        </w:drawing>
      </w:r>
    </w:p>
    <w:p w:rsidR="00C92781" w:rsidRPr="00C92781" w:rsidRDefault="00C92781" w:rsidP="00C9278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491490</wp:posOffset>
                </wp:positionH>
                <wp:positionV relativeFrom="paragraph">
                  <wp:posOffset>3455035</wp:posOffset>
                </wp:positionV>
                <wp:extent cx="5219700" cy="419100"/>
                <wp:effectExtent l="0" t="0" r="3810" b="2540"/>
                <wp:wrapTopAndBottom/>
                <wp:docPr id="1046" name="Поле 1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20327F" w:rsidRDefault="00DA0396" w:rsidP="00C92781">
                            <w:pPr>
                              <w:pStyle w:val="aa"/>
                              <w:jc w:val="right"/>
                              <w:rPr>
                                <w:rFonts w:ascii="Times New Roman" w:hAnsi="Times New Roman"/>
                                <w:noProof/>
                                <w:color w:val="000000" w:themeColor="text1"/>
                                <w:sz w:val="20"/>
                                <w:szCs w:val="20"/>
                              </w:rPr>
                            </w:pPr>
                            <w:r w:rsidRPr="0020327F">
                              <w:rPr>
                                <w:rFonts w:ascii="Times New Roman" w:hAnsi="Times New Roman"/>
                                <w:color w:val="000000" w:themeColor="text1"/>
                                <w:sz w:val="20"/>
                                <w:szCs w:val="20"/>
                              </w:rPr>
                              <w:t>Источник:</w:t>
                            </w:r>
                            <w:r>
                              <w:rPr>
                                <w:rFonts w:ascii="Times New Roman" w:hAnsi="Times New Roman"/>
                                <w:color w:val="000000" w:themeColor="text1"/>
                                <w:sz w:val="20"/>
                                <w:szCs w:val="20"/>
                              </w:rPr>
                              <w:t xml:space="preserve"> </w:t>
                            </w:r>
                            <w:r w:rsidRPr="0020327F">
                              <w:rPr>
                                <w:rFonts w:ascii="Times New Roman" w:hAnsi="Times New Roman"/>
                                <w:color w:val="000000" w:themeColor="text1"/>
                                <w:sz w:val="20"/>
                                <w:szCs w:val="20"/>
                              </w:rPr>
                              <w:t xml:space="preserve">Ильин Е.В. </w:t>
                            </w:r>
                            <w:r w:rsidRPr="00B4534F">
                              <w:rPr>
                                <w:rFonts w:ascii="Times New Roman" w:hAnsi="Times New Roman"/>
                                <w:color w:val="000000" w:themeColor="text1"/>
                                <w:sz w:val="20"/>
                                <w:szCs w:val="20"/>
                              </w:rPr>
                              <w:t>Конфликт интересов в саморегулируемых организациях США и неэффективность финансового рынка. Экономический журнал ВШЭ. 2012. Стр. 276.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046" o:spid="_x0000_s1045" type="#_x0000_t202" style="position:absolute;left:0;text-align:left;margin-left:38.7pt;margin-top:272.05pt;width:411pt;height: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" stroked="f">
                <v:textbox style="mso-fit-shape-to-text:t" inset="0,0,0,0">
                  <w:txbxContent>
                    <w:p w:rsidR="00DA0396" w:rsidRPr="0020327F" w:rsidRDefault="00DA0396" w:rsidP="00C92781">
                      <w:pPr>
                        <w:pStyle w:val="aa"/>
                        <w:jc w:val="right"/>
                        <w:rPr>
                          <w:rFonts w:ascii="Times New Roman" w:hAnsi="Times New Roman"/>
                          <w:noProof/>
                          <w:color w:val="000000" w:themeColor="text1"/>
                          <w:sz w:val="20"/>
                          <w:szCs w:val="20"/>
                        </w:rPr>
                      </w:pPr>
                      <w:r w:rsidRPr="0020327F">
                        <w:rPr>
                          <w:rFonts w:ascii="Times New Roman" w:hAnsi="Times New Roman"/>
                          <w:color w:val="000000" w:themeColor="text1"/>
                          <w:sz w:val="20"/>
                          <w:szCs w:val="20"/>
                        </w:rPr>
                        <w:t>Источник:</w:t>
                      </w:r>
                      <w:r>
                        <w:rPr>
                          <w:rFonts w:ascii="Times New Roman" w:hAnsi="Times New Roman"/>
                          <w:color w:val="000000" w:themeColor="text1"/>
                          <w:sz w:val="20"/>
                          <w:szCs w:val="20"/>
                        </w:rPr>
                        <w:t xml:space="preserve"> </w:t>
                      </w:r>
                      <w:r w:rsidRPr="0020327F">
                        <w:rPr>
                          <w:rFonts w:ascii="Times New Roman" w:hAnsi="Times New Roman"/>
                          <w:color w:val="000000" w:themeColor="text1"/>
                          <w:sz w:val="20"/>
                          <w:szCs w:val="20"/>
                        </w:rPr>
                        <w:t xml:space="preserve">Ильин Е.В. </w:t>
                      </w:r>
                      <w:r w:rsidRPr="00B4534F">
                        <w:rPr>
                          <w:rFonts w:ascii="Times New Roman" w:hAnsi="Times New Roman"/>
                          <w:color w:val="000000" w:themeColor="text1"/>
                          <w:sz w:val="20"/>
                          <w:szCs w:val="20"/>
                        </w:rPr>
                        <w:t>Конфликт интересов в саморегулируемых организациях США и неэффективность финансового рынка. Экономический журнал ВШЭ. 2012. Стр. 276.</w:t>
                      </w:r>
                    </w:p>
                  </w:txbxContent>
                </v:textbox>
                <w10:wrap type="topAndBottom"/>
              </v:shape>
            </w:pict>
          </mc:Fallback>
        </mc:AlternateContent>
      </w:r>
    </w:p>
    <w:p w:rsidR="00C92781" w:rsidRPr="00C92781" w:rsidRDefault="00C92781" w:rsidP="00C92781">
      <w:pPr>
        <w:spacing w:line="360" w:lineRule="auto"/>
        <w:jc w:val="both"/>
        <w:rPr>
          <w:rFonts w:ascii="Times New Roman" w:eastAsia="Times New Roman" w:hAnsi="Times New Roman" w:cs="Times New Roman"/>
          <w:sz w:val="28"/>
          <w:szCs w:val="28"/>
        </w:rPr>
      </w:pPr>
      <w:r w:rsidRPr="00C92781">
        <w:rPr>
          <w:rFonts w:ascii="Times New Roman" w:eastAsia="Times New Roman" w:hAnsi="Times New Roman" w:cs="Times New Roman"/>
          <w:sz w:val="28"/>
          <w:szCs w:val="28"/>
        </w:rPr>
        <w:tab/>
        <w:t xml:space="preserve">Согласно используемому источнику, гипотезы о равенстве средних нижних и верхних границ эмпирическим значениям соответственно минимального и максимального состояний неэффективности отвергались. В отношении нижних границ, это обозначает, что конфликт интересов внутри саморегулируемых организаций в США также существует. Что касается верхних границ, то в США, также как и в Австралии, профучастники не склонны максимизировать стоимости портфелей в областях сильной неэффективности рынка. Удаленность верхних границ интервала предпочтений от эмпирического максимума незначительно больше в США (график 13). Однако стоит отметить, что эмпирические максимумы </w:t>
      </w:r>
      <w:r w:rsidRPr="00C92781">
        <w:rPr>
          <w:rFonts w:ascii="Times New Roman" w:eastAsia="Times New Roman" w:hAnsi="Times New Roman" w:cs="Times New Roman"/>
          <w:sz w:val="28"/>
          <w:szCs w:val="28"/>
        </w:rPr>
        <w:lastRenderedPageBreak/>
        <w:t xml:space="preserve">состояний неэффективности рынка в Австралии ниже, чем аналогичные показатели на рынке США. </w:t>
      </w:r>
    </w:p>
    <w:p w:rsidR="00C92781" w:rsidRPr="00C92781" w:rsidRDefault="000B4827" w:rsidP="00C9278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12C06BCB" wp14:editId="7AF40377">
                <wp:simplePos x="0" y="0"/>
                <wp:positionH relativeFrom="column">
                  <wp:posOffset>710565</wp:posOffset>
                </wp:positionH>
                <wp:positionV relativeFrom="paragraph">
                  <wp:posOffset>1280160</wp:posOffset>
                </wp:positionV>
                <wp:extent cx="4514850" cy="361950"/>
                <wp:effectExtent l="0" t="0" r="0" b="0"/>
                <wp:wrapTight wrapText="bothSides">
                  <wp:wrapPolygon edited="0">
                    <wp:start x="0" y="0"/>
                    <wp:lineTo x="0" y="20463"/>
                    <wp:lineTo x="21509" y="20463"/>
                    <wp:lineTo x="21509" y="0"/>
                    <wp:lineTo x="0" y="0"/>
                  </wp:wrapPolygon>
                </wp:wrapTight>
                <wp:docPr id="1045" name="Поле 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1A44A1" w:rsidRDefault="00DA0396" w:rsidP="00C92781">
                            <w:pPr>
                              <w:pStyle w:val="aa"/>
                              <w:jc w:val="center"/>
                              <w:rPr>
                                <w:rFonts w:ascii="Times New Roman" w:hAnsi="Times New Roman"/>
                                <w:noProof/>
                                <w:color w:val="000000" w:themeColor="text1"/>
                                <w:sz w:val="24"/>
                                <w:szCs w:val="24"/>
                              </w:rPr>
                            </w:pPr>
                            <w:r>
                              <w:rPr>
                                <w:rFonts w:ascii="Times New Roman" w:hAnsi="Times New Roman"/>
                                <w:color w:val="000000" w:themeColor="text1"/>
                                <w:sz w:val="24"/>
                                <w:szCs w:val="24"/>
                              </w:rPr>
                              <w:t>График 13: Удаленность верхних границ от локального максимума в США и Австралии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45" o:spid="_x0000_s1046" type="#_x0000_t202" style="position:absolute;left:0;text-align:left;margin-left:55.95pt;margin-top:100.8pt;width:355.5pt;height: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" stroked="f">
                <v:textbox inset="0,0,0,0">
                  <w:txbxContent>
                    <w:p w:rsidR="00DA0396" w:rsidRPr="001A44A1" w:rsidRDefault="00DA0396" w:rsidP="00C92781">
                      <w:pPr>
                        <w:pStyle w:val="aa"/>
                        <w:jc w:val="center"/>
                        <w:rPr>
                          <w:rFonts w:ascii="Times New Roman" w:hAnsi="Times New Roman"/>
                          <w:noProof/>
                          <w:color w:val="000000" w:themeColor="text1"/>
                          <w:sz w:val="24"/>
                          <w:szCs w:val="24"/>
                        </w:rPr>
                      </w:pPr>
                      <w:r>
                        <w:rPr>
                          <w:rFonts w:ascii="Times New Roman" w:hAnsi="Times New Roman"/>
                          <w:color w:val="000000" w:themeColor="text1"/>
                          <w:sz w:val="24"/>
                          <w:szCs w:val="24"/>
                        </w:rPr>
                        <w:t>График 13: Удаленность верхних границ от локального максимума в США и Австралии</w:t>
                      </w:r>
                    </w:p>
                  </w:txbxContent>
                </v:textbox>
                <w10:wrap type="tight"/>
              </v:shape>
            </w:pict>
          </mc:Fallback>
        </mc:AlternateContent>
      </w:r>
      <w:r w:rsidR="00C92781" w:rsidRPr="00C92781">
        <w:rPr>
          <w:rFonts w:ascii="Times New Roman" w:eastAsia="Times New Roman" w:hAnsi="Times New Roman" w:cs="Times New Roman"/>
          <w:sz w:val="28"/>
          <w:szCs w:val="28"/>
        </w:rPr>
        <w:tab/>
        <w:t xml:space="preserve">Больший интерес представляет область максимальной эффективности рынка в двух странах. Также рассчитывается удаленность нижних границ интервалов предпочтений от значений локального минимума неэффективности (график 14). </w:t>
      </w:r>
    </w:p>
    <w:p w:rsidR="00C92781" w:rsidRPr="00C92781" w:rsidRDefault="00C92781" w:rsidP="00C92781">
      <w:pPr>
        <w:spacing w:line="360" w:lineRule="auto"/>
        <w:jc w:val="both"/>
        <w:rPr>
          <w:rFonts w:ascii="Times New Roman" w:eastAsia="Times New Roman" w:hAnsi="Times New Roman" w:cs="Times New Roman"/>
          <w:sz w:val="28"/>
          <w:szCs w:val="28"/>
        </w:rPr>
      </w:pPr>
      <w:r w:rsidRPr="00C92781">
        <w:rPr>
          <w:rFonts w:ascii="Times New Roman" w:eastAsia="Times New Roman" w:hAnsi="Times New Roman" w:cs="Times New Roman"/>
          <w:noProof/>
          <w:sz w:val="28"/>
          <w:szCs w:val="28"/>
          <w:lang w:eastAsia="ru-RU"/>
        </w:rPr>
        <w:drawing>
          <wp:anchor distT="0" distB="0" distL="114300" distR="114300" simplePos="0" relativeHeight="251693056" behindDoc="1" locked="0" layoutInCell="1" allowOverlap="1" wp14:anchorId="32289389" wp14:editId="59B0C1DD">
            <wp:simplePos x="0" y="0"/>
            <wp:positionH relativeFrom="column">
              <wp:posOffset>786765</wp:posOffset>
            </wp:positionH>
            <wp:positionV relativeFrom="paragraph">
              <wp:posOffset>387350</wp:posOffset>
            </wp:positionV>
            <wp:extent cx="4584700" cy="2755900"/>
            <wp:effectExtent l="0" t="0" r="0" b="0"/>
            <wp:wrapTight wrapText="bothSides">
              <wp:wrapPolygon edited="0">
                <wp:start x="0" y="0"/>
                <wp:lineTo x="0" y="21500"/>
                <wp:lineTo x="21540" y="21500"/>
                <wp:lineTo x="21540" y="0"/>
                <wp:lineTo x="0" y="0"/>
              </wp:wrapPolygon>
            </wp:wrapTight>
            <wp:docPr id="1040" name="Рисунок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14:sizeRelH relativeFrom="page">
              <wp14:pctWidth>0</wp14:pctWidth>
            </wp14:sizeRelH>
            <wp14:sizeRelV relativeFrom="page">
              <wp14:pctHeight>0</wp14:pctHeight>
            </wp14:sizeRelV>
          </wp:anchor>
        </w:drawing>
      </w:r>
    </w:p>
    <w:p w:rsidR="00C92781" w:rsidRPr="00C92781" w:rsidRDefault="00C92781" w:rsidP="00C92781">
      <w:pPr>
        <w:spacing w:line="360" w:lineRule="auto"/>
        <w:jc w:val="both"/>
        <w:rPr>
          <w:rFonts w:ascii="Times New Roman" w:eastAsia="Times New Roman" w:hAnsi="Times New Roman" w:cs="Times New Roman"/>
          <w:sz w:val="28"/>
          <w:szCs w:val="28"/>
        </w:rPr>
      </w:pPr>
    </w:p>
    <w:p w:rsidR="00C92781" w:rsidRPr="00C92781" w:rsidRDefault="00C92781" w:rsidP="00C92781">
      <w:pPr>
        <w:spacing w:line="360" w:lineRule="auto"/>
        <w:jc w:val="both"/>
        <w:rPr>
          <w:rFonts w:ascii="Times New Roman" w:eastAsia="Times New Roman" w:hAnsi="Times New Roman" w:cs="Times New Roman"/>
          <w:sz w:val="28"/>
          <w:szCs w:val="28"/>
        </w:rPr>
      </w:pPr>
    </w:p>
    <w:p w:rsidR="00C92781" w:rsidRPr="00C92781" w:rsidRDefault="00C92781" w:rsidP="00C92781">
      <w:pPr>
        <w:spacing w:line="360" w:lineRule="auto"/>
        <w:jc w:val="both"/>
        <w:rPr>
          <w:rFonts w:ascii="Times New Roman" w:eastAsia="Times New Roman" w:hAnsi="Times New Roman" w:cs="Times New Roman"/>
          <w:sz w:val="28"/>
          <w:szCs w:val="28"/>
        </w:rPr>
      </w:pPr>
    </w:p>
    <w:p w:rsidR="00C92781" w:rsidRPr="00C92781" w:rsidRDefault="00C92781" w:rsidP="00C92781">
      <w:pPr>
        <w:spacing w:line="360" w:lineRule="auto"/>
        <w:jc w:val="both"/>
        <w:rPr>
          <w:rFonts w:ascii="Times New Roman" w:eastAsia="Times New Roman" w:hAnsi="Times New Roman" w:cs="Times New Roman"/>
          <w:sz w:val="28"/>
          <w:szCs w:val="28"/>
        </w:rPr>
      </w:pPr>
    </w:p>
    <w:p w:rsidR="00C92781" w:rsidRPr="00C92781" w:rsidRDefault="00C92781" w:rsidP="00C92781">
      <w:pPr>
        <w:spacing w:line="360" w:lineRule="auto"/>
        <w:jc w:val="both"/>
        <w:rPr>
          <w:rFonts w:ascii="Times New Roman" w:eastAsia="Times New Roman" w:hAnsi="Times New Roman" w:cs="Times New Roman"/>
          <w:sz w:val="28"/>
          <w:szCs w:val="28"/>
        </w:rPr>
      </w:pP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777240</wp:posOffset>
                </wp:positionH>
                <wp:positionV relativeFrom="paragraph">
                  <wp:posOffset>298450</wp:posOffset>
                </wp:positionV>
                <wp:extent cx="4514850" cy="200025"/>
                <wp:effectExtent l="0" t="3175" r="3810" b="0"/>
                <wp:wrapTight wrapText="bothSides">
                  <wp:wrapPolygon edited="0">
                    <wp:start x="-52" y="0"/>
                    <wp:lineTo x="-52" y="21120"/>
                    <wp:lineTo x="21600" y="21120"/>
                    <wp:lineTo x="21600" y="0"/>
                    <wp:lineTo x="-52" y="0"/>
                  </wp:wrapPolygon>
                </wp:wrapTight>
                <wp:docPr id="1044" name="Поле 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1A44A1" w:rsidRDefault="00DA0396" w:rsidP="00C92781">
                            <w:pPr>
                              <w:pStyle w:val="aa"/>
                              <w:jc w:val="right"/>
                              <w:rPr>
                                <w:rFonts w:ascii="Times New Roman" w:hAnsi="Times New Roman"/>
                                <w:noProof/>
                                <w:color w:val="000000" w:themeColor="text1"/>
                                <w:sz w:val="24"/>
                                <w:szCs w:val="24"/>
                              </w:rPr>
                            </w:pPr>
                            <w:r>
                              <w:rPr>
                                <w:rFonts w:ascii="Times New Roman" w:hAnsi="Times New Roman"/>
                                <w:color w:val="000000" w:themeColor="text1"/>
                                <w:sz w:val="24"/>
                                <w:szCs w:val="24"/>
                              </w:rPr>
                              <w:t>Источник: собственные расчеты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44" o:spid="_x0000_s1047" type="#_x0000_t202" style="position:absolute;left:0;text-align:left;margin-left:61.2pt;margin-top:23.5pt;width:355.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" stroked="f">
                <v:textbox inset="0,0,0,0">
                  <w:txbxContent>
                    <w:p w:rsidR="00DA0396" w:rsidRPr="001A44A1" w:rsidRDefault="00DA0396" w:rsidP="00C92781">
                      <w:pPr>
                        <w:pStyle w:val="aa"/>
                        <w:jc w:val="right"/>
                        <w:rPr>
                          <w:rFonts w:ascii="Times New Roman" w:hAnsi="Times New Roman"/>
                          <w:noProof/>
                          <w:color w:val="000000" w:themeColor="text1"/>
                          <w:sz w:val="24"/>
                          <w:szCs w:val="24"/>
                        </w:rPr>
                      </w:pPr>
                      <w:r>
                        <w:rPr>
                          <w:rFonts w:ascii="Times New Roman" w:hAnsi="Times New Roman"/>
                          <w:color w:val="000000" w:themeColor="text1"/>
                          <w:sz w:val="24"/>
                          <w:szCs w:val="24"/>
                        </w:rPr>
                        <w:t>Источник: собственные расчеты</w:t>
                      </w:r>
                    </w:p>
                  </w:txbxContent>
                </v:textbox>
                <w10:wrap type="tight"/>
              </v:shape>
            </w:pict>
          </mc:Fallback>
        </mc:AlternateContent>
      </w: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59B0FEDD" wp14:editId="762E397A">
                <wp:simplePos x="0" y="0"/>
                <wp:positionH relativeFrom="column">
                  <wp:posOffset>767715</wp:posOffset>
                </wp:positionH>
                <wp:positionV relativeFrom="paragraph">
                  <wp:posOffset>-113030</wp:posOffset>
                </wp:positionV>
                <wp:extent cx="4514850" cy="361950"/>
                <wp:effectExtent l="0" t="1270" r="3810" b="0"/>
                <wp:wrapTight wrapText="bothSides">
                  <wp:wrapPolygon edited="0">
                    <wp:start x="-52" y="0"/>
                    <wp:lineTo x="-52" y="21145"/>
                    <wp:lineTo x="21600" y="21145"/>
                    <wp:lineTo x="21600" y="0"/>
                    <wp:lineTo x="-52" y="0"/>
                  </wp:wrapPolygon>
                </wp:wrapTight>
                <wp:docPr id="1043" name="Поле 1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1A44A1" w:rsidRDefault="00DA0396" w:rsidP="00C92781">
                            <w:pPr>
                              <w:pStyle w:val="aa"/>
                              <w:jc w:val="center"/>
                              <w:rPr>
                                <w:rFonts w:ascii="Times New Roman" w:hAnsi="Times New Roman"/>
                                <w:noProof/>
                                <w:color w:val="000000" w:themeColor="text1"/>
                                <w:sz w:val="24"/>
                                <w:szCs w:val="24"/>
                              </w:rPr>
                            </w:pPr>
                            <w:r>
                              <w:rPr>
                                <w:rFonts w:ascii="Times New Roman" w:hAnsi="Times New Roman"/>
                                <w:color w:val="000000" w:themeColor="text1"/>
                                <w:sz w:val="24"/>
                                <w:szCs w:val="24"/>
                              </w:rPr>
                              <w:t>График 14: Удаленность нижних границ от локального минимума в США и Австралии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43" o:spid="_x0000_s1048" type="#_x0000_t202" style="position:absolute;left:0;text-align:left;margin-left:60.45pt;margin-top:-8.9pt;width:355.5pt;height: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" stroked="f">
                <v:textbox inset="0,0,0,0">
                  <w:txbxContent>
                    <w:p w:rsidR="00DA0396" w:rsidRPr="001A44A1" w:rsidRDefault="00DA0396" w:rsidP="00C92781">
                      <w:pPr>
                        <w:pStyle w:val="aa"/>
                        <w:jc w:val="center"/>
                        <w:rPr>
                          <w:rFonts w:ascii="Times New Roman" w:hAnsi="Times New Roman"/>
                          <w:noProof/>
                          <w:color w:val="000000" w:themeColor="text1"/>
                          <w:sz w:val="24"/>
                          <w:szCs w:val="24"/>
                        </w:rPr>
                      </w:pPr>
                      <w:r>
                        <w:rPr>
                          <w:rFonts w:ascii="Times New Roman" w:hAnsi="Times New Roman"/>
                          <w:color w:val="000000" w:themeColor="text1"/>
                          <w:sz w:val="24"/>
                          <w:szCs w:val="24"/>
                        </w:rPr>
                        <w:t>График 14: Удаленность нижних границ от локального минимума в США и Австралии</w:t>
                      </w:r>
                    </w:p>
                  </w:txbxContent>
                </v:textbox>
                <w10:wrap type="tight"/>
              </v:shape>
            </w:pict>
          </mc:Fallback>
        </mc:AlternateContent>
      </w: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r w:rsidRPr="00C92781">
        <w:rPr>
          <w:rFonts w:ascii="Times New Roman" w:eastAsia="Times New Roman" w:hAnsi="Times New Roman" w:cs="Times New Roman"/>
          <w:noProof/>
          <w:sz w:val="28"/>
          <w:szCs w:val="28"/>
          <w:lang w:eastAsia="ru-RU"/>
        </w:rPr>
        <w:drawing>
          <wp:anchor distT="0" distB="0" distL="114300" distR="114300" simplePos="0" relativeHeight="251695104" behindDoc="1" locked="0" layoutInCell="1" allowOverlap="1" wp14:anchorId="299A79A0" wp14:editId="2638C119">
            <wp:simplePos x="0" y="0"/>
            <wp:positionH relativeFrom="column">
              <wp:posOffset>790575</wp:posOffset>
            </wp:positionH>
            <wp:positionV relativeFrom="paragraph">
              <wp:posOffset>75565</wp:posOffset>
            </wp:positionV>
            <wp:extent cx="4584700" cy="2755900"/>
            <wp:effectExtent l="0" t="0" r="0" b="0"/>
            <wp:wrapTight wrapText="bothSides">
              <wp:wrapPolygon edited="0">
                <wp:start x="0" y="0"/>
                <wp:lineTo x="0" y="21500"/>
                <wp:lineTo x="21540" y="21500"/>
                <wp:lineTo x="21540" y="0"/>
                <wp:lineTo x="0" y="0"/>
              </wp:wrapPolygon>
            </wp:wrapTight>
            <wp:docPr id="1041" name="Рисунок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14:sizeRelH relativeFrom="page">
              <wp14:pctWidth>0</wp14:pctWidth>
            </wp14:sizeRelH>
            <wp14:sizeRelV relativeFrom="page">
              <wp14:pctHeight>0</wp14:pctHeight>
            </wp14:sizeRelV>
          </wp:anchor>
        </w:drawing>
      </w: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p>
    <w:p w:rsidR="00C92781" w:rsidRPr="00C92781" w:rsidRDefault="004249EB" w:rsidP="00C92781">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5D8B999B" wp14:editId="4F90C503">
                <wp:simplePos x="0" y="0"/>
                <wp:positionH relativeFrom="column">
                  <wp:posOffset>774065</wp:posOffset>
                </wp:positionH>
                <wp:positionV relativeFrom="paragraph">
                  <wp:posOffset>552450</wp:posOffset>
                </wp:positionV>
                <wp:extent cx="4514850" cy="200025"/>
                <wp:effectExtent l="0" t="0" r="0" b="9525"/>
                <wp:wrapTopAndBottom/>
                <wp:docPr id="1042" name="Поле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1A44A1" w:rsidRDefault="00DA0396" w:rsidP="00C92781">
                            <w:pPr>
                              <w:pStyle w:val="aa"/>
                              <w:jc w:val="right"/>
                              <w:rPr>
                                <w:rFonts w:ascii="Times New Roman" w:hAnsi="Times New Roman"/>
                                <w:noProof/>
                                <w:color w:val="000000" w:themeColor="text1"/>
                                <w:sz w:val="24"/>
                                <w:szCs w:val="24"/>
                              </w:rPr>
                            </w:pPr>
                            <w:r>
                              <w:rPr>
                                <w:rFonts w:ascii="Times New Roman" w:hAnsi="Times New Roman"/>
                                <w:color w:val="000000" w:themeColor="text1"/>
                                <w:sz w:val="24"/>
                                <w:szCs w:val="24"/>
                              </w:rPr>
                              <w:t>Источник: собственные расчеты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42" o:spid="_x0000_s1049" type="#_x0000_t202" style="position:absolute;left:0;text-align:left;margin-left:60.95pt;margin-top:43.5pt;width:355.5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" stroked="f">
                <v:textbox inset="0,0,0,0">
                  <w:txbxContent>
                    <w:p w:rsidR="00DA0396" w:rsidRPr="001A44A1" w:rsidRDefault="00DA0396" w:rsidP="00C92781">
                      <w:pPr>
                        <w:pStyle w:val="aa"/>
                        <w:jc w:val="right"/>
                        <w:rPr>
                          <w:rFonts w:ascii="Times New Roman" w:hAnsi="Times New Roman"/>
                          <w:noProof/>
                          <w:color w:val="000000" w:themeColor="text1"/>
                          <w:sz w:val="24"/>
                          <w:szCs w:val="24"/>
                        </w:rPr>
                      </w:pPr>
                      <w:r>
                        <w:rPr>
                          <w:rFonts w:ascii="Times New Roman" w:hAnsi="Times New Roman"/>
                          <w:color w:val="000000" w:themeColor="text1"/>
                          <w:sz w:val="24"/>
                          <w:szCs w:val="24"/>
                        </w:rPr>
                        <w:t>Источник: собственные расчеты</w:t>
                      </w:r>
                    </w:p>
                  </w:txbxContent>
                </v:textbox>
                <w10:wrap type="topAndBottom"/>
              </v:shape>
            </w:pict>
          </mc:Fallback>
        </mc:AlternateContent>
      </w: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r w:rsidRPr="00C92781">
        <w:rPr>
          <w:rFonts w:ascii="Times New Roman" w:eastAsia="Times New Roman" w:hAnsi="Times New Roman" w:cs="Times New Roman"/>
          <w:sz w:val="28"/>
          <w:szCs w:val="28"/>
        </w:rPr>
        <w:lastRenderedPageBreak/>
        <w:t xml:space="preserve">На протяжении большей части рассматриваемого периода удаленность от состояний эффективности больше в США, чем в Австралии. Максимальное расстояние от эмпирического минимума в США наблюдается в 2008 году, что может быть следствием финансового кризиса. Данный график свидетельствует о том, что профучастники в Австралии максимизируют стоимости своих портфелей в области, располагающейся ближе к минимальной неэффективности, нежели чем профучастники в США. </w:t>
      </w: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r w:rsidRPr="00C92781">
        <w:rPr>
          <w:rFonts w:ascii="Times New Roman" w:eastAsia="Times New Roman" w:hAnsi="Times New Roman" w:cs="Times New Roman"/>
          <w:sz w:val="28"/>
          <w:szCs w:val="28"/>
        </w:rPr>
        <w:t xml:space="preserve">В контексте рассматриваемых ранее относительных параметров предпочтений саморегулируемых организаций </w:t>
      </w:r>
      <w:r w:rsidRPr="00C92781">
        <w:rPr>
          <w:rFonts w:ascii="Times New Roman" w:eastAsia="Times New Roman" w:hAnsi="Times New Roman" w:cs="Times New Roman"/>
          <w:sz w:val="28"/>
          <w:szCs w:val="28"/>
          <w:lang w:val="en-US"/>
        </w:rPr>
        <w:t>RE</w:t>
      </w:r>
      <w:r w:rsidRPr="00C92781">
        <w:rPr>
          <w:rFonts w:ascii="Times New Roman" w:eastAsia="Times New Roman" w:hAnsi="Times New Roman" w:cs="Times New Roman"/>
          <w:sz w:val="28"/>
          <w:szCs w:val="28"/>
        </w:rPr>
        <w:t xml:space="preserve"> и </w:t>
      </w:r>
      <w:r w:rsidRPr="00C92781">
        <w:rPr>
          <w:rFonts w:ascii="Times New Roman" w:eastAsia="Times New Roman" w:hAnsi="Times New Roman" w:cs="Times New Roman"/>
          <w:sz w:val="28"/>
          <w:szCs w:val="28"/>
          <w:lang w:val="en-US"/>
        </w:rPr>
        <w:t>IRE</w:t>
      </w:r>
      <w:r w:rsidRPr="00C92781">
        <w:rPr>
          <w:rFonts w:ascii="Times New Roman" w:eastAsia="Times New Roman" w:hAnsi="Times New Roman" w:cs="Times New Roman"/>
          <w:sz w:val="28"/>
          <w:szCs w:val="28"/>
        </w:rPr>
        <w:t xml:space="preserve">, австралийцы предпочитают более низкие нижние границы, отвечающие за нормотворчество, а также в семи случаях из девяти более низкие верхние границы, символизирующие правоприменение, что свидетельствует о том, что они законопослушны. </w:t>
      </w:r>
    </w:p>
    <w:p w:rsidR="00C92781" w:rsidRPr="00C92781" w:rsidRDefault="00C92781" w:rsidP="00C92781">
      <w:pPr>
        <w:spacing w:line="360" w:lineRule="auto"/>
        <w:ind w:firstLine="708"/>
        <w:jc w:val="both"/>
        <w:rPr>
          <w:rFonts w:ascii="Times New Roman" w:eastAsia="Times New Roman" w:hAnsi="Times New Roman" w:cs="Times New Roman"/>
          <w:sz w:val="28"/>
          <w:szCs w:val="28"/>
        </w:rPr>
      </w:pPr>
      <w:r w:rsidRPr="00C92781">
        <w:rPr>
          <w:rFonts w:ascii="Times New Roman" w:eastAsia="Times New Roman" w:hAnsi="Times New Roman" w:cs="Times New Roman"/>
          <w:sz w:val="28"/>
          <w:szCs w:val="28"/>
        </w:rPr>
        <w:t xml:space="preserve">Таким образом, уровни эмпирических максимумов состояний неэффективности рынка в Австралии ниже, чем аналогичные показатели на рынке США. Нижние границы интервала предпочтений неэффективности рынка в Австралии находятся ближе к эмпирическим минимумам неэффективности, чем в США. Верхние границы также находятся ниже аналогичных американских показателей. Более низкое расположение и нижних, и верхних границ интервала предпочтений в Австралии говорит о законопослушности участников финансового рынка. </w:t>
      </w:r>
    </w:p>
    <w:p w:rsidR="00C92781" w:rsidRPr="00C92781" w:rsidRDefault="00C92781" w:rsidP="00C92781">
      <w:pPr>
        <w:spacing w:line="360" w:lineRule="auto"/>
        <w:jc w:val="both"/>
        <w:rPr>
          <w:rFonts w:ascii="Times New Roman" w:eastAsia="Times New Roman" w:hAnsi="Times New Roman" w:cs="Times New Roman"/>
          <w:sz w:val="28"/>
          <w:szCs w:val="28"/>
        </w:rPr>
      </w:pPr>
      <w:r w:rsidRPr="00C92781">
        <w:rPr>
          <w:rFonts w:ascii="Times New Roman" w:eastAsia="Times New Roman" w:hAnsi="Times New Roman" w:cs="Times New Roman"/>
          <w:sz w:val="28"/>
          <w:szCs w:val="28"/>
        </w:rPr>
        <w:tab/>
        <w:t xml:space="preserve">В данной главе было выявлено двумя способами, что системы финансового регулирования США и Австралии инвариантны с точки зрения информационной эффективности рынка. Однако анализ особенностей поведения профучастников продемонстрировал, что эмпирические максимальные состояния неэффективности рынка в Австралии меньше, чем в США. Нижние границы интервала предпочтений в Австралии находятся ближе к минимальным состояниям неэффективности рынка. Анализ динамики относительных параметров предпочтений саморегулируемых </w:t>
      </w:r>
      <w:r w:rsidRPr="00C92781">
        <w:rPr>
          <w:rFonts w:ascii="Times New Roman" w:eastAsia="Times New Roman" w:hAnsi="Times New Roman" w:cs="Times New Roman"/>
          <w:sz w:val="28"/>
          <w:szCs w:val="28"/>
        </w:rPr>
        <w:lastRenderedPageBreak/>
        <w:t xml:space="preserve">организаций </w:t>
      </w:r>
      <w:r w:rsidRPr="00C92781">
        <w:rPr>
          <w:rFonts w:ascii="Times New Roman" w:eastAsia="Times New Roman" w:hAnsi="Times New Roman" w:cs="Times New Roman"/>
          <w:sz w:val="28"/>
          <w:szCs w:val="28"/>
          <w:lang w:val="en-US"/>
        </w:rPr>
        <w:t>RE</w:t>
      </w:r>
      <w:r w:rsidRPr="00C92781">
        <w:rPr>
          <w:rFonts w:ascii="Times New Roman" w:eastAsia="Times New Roman" w:hAnsi="Times New Roman" w:cs="Times New Roman"/>
          <w:sz w:val="28"/>
          <w:szCs w:val="28"/>
        </w:rPr>
        <w:t xml:space="preserve"> и </w:t>
      </w:r>
      <w:r w:rsidRPr="00C92781">
        <w:rPr>
          <w:rFonts w:ascii="Times New Roman" w:eastAsia="Times New Roman" w:hAnsi="Times New Roman" w:cs="Times New Roman"/>
          <w:sz w:val="28"/>
          <w:szCs w:val="28"/>
          <w:lang w:val="en-US"/>
        </w:rPr>
        <w:t>IRE</w:t>
      </w:r>
      <w:r w:rsidRPr="00C92781">
        <w:rPr>
          <w:rFonts w:ascii="Times New Roman" w:eastAsia="Times New Roman" w:hAnsi="Times New Roman" w:cs="Times New Roman"/>
          <w:sz w:val="28"/>
          <w:szCs w:val="28"/>
        </w:rPr>
        <w:t xml:space="preserve"> показал, что суверенные регуляторы Австралии склонны вмешиваться в процесс регулирования, используя различные правоприменительные санкции, для улучшения общего функционирования рынка и повышения уровня эффективности в частности. Основываясь на том, что модель финансового регулирования определяет предпочтения игроков, можно сделать вывод, что система </w:t>
      </w:r>
      <w:r w:rsidRPr="00C92781">
        <w:rPr>
          <w:rFonts w:ascii="Times New Roman" w:eastAsia="Times New Roman" w:hAnsi="Times New Roman" w:cs="Times New Roman"/>
          <w:sz w:val="28"/>
          <w:szCs w:val="28"/>
          <w:lang w:val="en-US"/>
        </w:rPr>
        <w:t>Twin</w:t>
      </w:r>
      <w:r w:rsidRPr="00C92781">
        <w:rPr>
          <w:rFonts w:ascii="Times New Roman" w:eastAsia="Times New Roman" w:hAnsi="Times New Roman" w:cs="Times New Roman"/>
          <w:sz w:val="28"/>
          <w:szCs w:val="28"/>
        </w:rPr>
        <w:t xml:space="preserve"> </w:t>
      </w:r>
      <w:r w:rsidRPr="00C92781">
        <w:rPr>
          <w:rFonts w:ascii="Times New Roman" w:eastAsia="Times New Roman" w:hAnsi="Times New Roman" w:cs="Times New Roman"/>
          <w:sz w:val="28"/>
          <w:szCs w:val="28"/>
          <w:lang w:val="en-US"/>
        </w:rPr>
        <w:t>Peaks</w:t>
      </w:r>
      <w:r w:rsidRPr="00C92781">
        <w:rPr>
          <w:rFonts w:ascii="Times New Roman" w:eastAsia="Times New Roman" w:hAnsi="Times New Roman" w:cs="Times New Roman"/>
          <w:sz w:val="28"/>
          <w:szCs w:val="28"/>
        </w:rPr>
        <w:t xml:space="preserve">, особенностью которой является пруденциальное регулирование, эффективна и по многим критериям опережает модель США. Это свидетельствует о недостаточности чистого саморегулирования и о неоспоримых преимуществах активного включения в процесс финансового надзора суверенных регуляторов, деятельность которых охватывает не только контроль поведения участников рынка, но и предупреждение возможных финансовых проблем, а также помощь в их разрешении. </w:t>
      </w:r>
    </w:p>
    <w:p w:rsidR="00C92781" w:rsidRDefault="00C92781" w:rsidP="00C92781">
      <w:pPr>
        <w:spacing w:line="360" w:lineRule="auto"/>
        <w:jc w:val="both"/>
        <w:rPr>
          <w:rFonts w:ascii="Times New Roman" w:eastAsia="Times New Roman" w:hAnsi="Times New Roman" w:cs="Times New Roman"/>
          <w:sz w:val="28"/>
          <w:szCs w:val="28"/>
        </w:rPr>
      </w:pPr>
    </w:p>
    <w:p w:rsidR="008F155F" w:rsidRDefault="008F155F" w:rsidP="00C92781">
      <w:pPr>
        <w:spacing w:line="360" w:lineRule="auto"/>
        <w:jc w:val="both"/>
        <w:rPr>
          <w:rFonts w:ascii="Times New Roman" w:eastAsia="Times New Roman" w:hAnsi="Times New Roman" w:cs="Times New Roman"/>
          <w:sz w:val="28"/>
          <w:szCs w:val="28"/>
        </w:rPr>
      </w:pPr>
    </w:p>
    <w:p w:rsidR="008F155F" w:rsidRDefault="008F155F" w:rsidP="00C92781">
      <w:pPr>
        <w:spacing w:line="360" w:lineRule="auto"/>
        <w:jc w:val="both"/>
        <w:rPr>
          <w:rFonts w:ascii="Times New Roman" w:eastAsia="Times New Roman" w:hAnsi="Times New Roman" w:cs="Times New Roman"/>
          <w:sz w:val="28"/>
          <w:szCs w:val="28"/>
        </w:rPr>
      </w:pPr>
    </w:p>
    <w:p w:rsidR="008F155F" w:rsidRDefault="008F155F" w:rsidP="00C92781">
      <w:pPr>
        <w:spacing w:line="360" w:lineRule="auto"/>
        <w:jc w:val="both"/>
        <w:rPr>
          <w:rFonts w:ascii="Times New Roman" w:eastAsia="Times New Roman" w:hAnsi="Times New Roman" w:cs="Times New Roman"/>
          <w:sz w:val="28"/>
          <w:szCs w:val="28"/>
        </w:rPr>
      </w:pPr>
    </w:p>
    <w:p w:rsidR="008F155F" w:rsidRDefault="008F155F" w:rsidP="00C92781">
      <w:pPr>
        <w:spacing w:line="360" w:lineRule="auto"/>
        <w:jc w:val="both"/>
        <w:rPr>
          <w:rFonts w:ascii="Times New Roman" w:eastAsia="Times New Roman" w:hAnsi="Times New Roman" w:cs="Times New Roman"/>
          <w:sz w:val="28"/>
          <w:szCs w:val="28"/>
        </w:rPr>
      </w:pPr>
    </w:p>
    <w:p w:rsidR="008F155F" w:rsidRDefault="008F155F" w:rsidP="00C92781">
      <w:pPr>
        <w:spacing w:line="360" w:lineRule="auto"/>
        <w:jc w:val="both"/>
        <w:rPr>
          <w:rFonts w:ascii="Times New Roman" w:eastAsia="Times New Roman" w:hAnsi="Times New Roman" w:cs="Times New Roman"/>
          <w:sz w:val="28"/>
          <w:szCs w:val="28"/>
        </w:rPr>
      </w:pPr>
    </w:p>
    <w:p w:rsidR="008F155F" w:rsidRDefault="008F155F" w:rsidP="00C92781">
      <w:pPr>
        <w:spacing w:line="360" w:lineRule="auto"/>
        <w:jc w:val="both"/>
        <w:rPr>
          <w:rFonts w:ascii="Times New Roman" w:eastAsia="Times New Roman" w:hAnsi="Times New Roman" w:cs="Times New Roman"/>
          <w:sz w:val="28"/>
          <w:szCs w:val="28"/>
        </w:rPr>
      </w:pPr>
    </w:p>
    <w:p w:rsidR="008F155F" w:rsidRDefault="008F155F" w:rsidP="00C92781">
      <w:pPr>
        <w:spacing w:line="360" w:lineRule="auto"/>
        <w:jc w:val="both"/>
        <w:rPr>
          <w:rFonts w:ascii="Times New Roman" w:eastAsia="Times New Roman" w:hAnsi="Times New Roman" w:cs="Times New Roman"/>
          <w:sz w:val="28"/>
          <w:szCs w:val="28"/>
        </w:rPr>
      </w:pPr>
    </w:p>
    <w:p w:rsidR="008F155F" w:rsidRDefault="008F155F" w:rsidP="00C92781">
      <w:pPr>
        <w:spacing w:line="360" w:lineRule="auto"/>
        <w:jc w:val="both"/>
        <w:rPr>
          <w:rFonts w:ascii="Times New Roman" w:eastAsia="Times New Roman" w:hAnsi="Times New Roman" w:cs="Times New Roman"/>
          <w:sz w:val="28"/>
          <w:szCs w:val="28"/>
        </w:rPr>
      </w:pPr>
    </w:p>
    <w:p w:rsidR="008F155F" w:rsidRDefault="008F155F" w:rsidP="00C92781">
      <w:pPr>
        <w:spacing w:line="360" w:lineRule="auto"/>
        <w:jc w:val="both"/>
        <w:rPr>
          <w:rFonts w:ascii="Times New Roman" w:eastAsia="Times New Roman" w:hAnsi="Times New Roman" w:cs="Times New Roman"/>
          <w:sz w:val="28"/>
          <w:szCs w:val="28"/>
        </w:rPr>
      </w:pPr>
    </w:p>
    <w:p w:rsidR="008F155F" w:rsidRDefault="008F155F">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EF0AA4" w:rsidRPr="00EF0AA4" w:rsidRDefault="00EF0AA4" w:rsidP="00EF0AA4">
      <w:pPr>
        <w:spacing w:line="360" w:lineRule="auto"/>
        <w:jc w:val="center"/>
        <w:rPr>
          <w:rFonts w:ascii="Times New Roman" w:hAnsi="Times New Roman" w:cs="Times New Roman"/>
          <w:b/>
          <w:sz w:val="32"/>
          <w:szCs w:val="32"/>
        </w:rPr>
      </w:pPr>
      <w:r w:rsidRPr="00EF0AA4">
        <w:rPr>
          <w:rFonts w:ascii="Times New Roman" w:hAnsi="Times New Roman" w:cs="Times New Roman"/>
          <w:b/>
          <w:sz w:val="32"/>
          <w:szCs w:val="32"/>
        </w:rPr>
        <w:lastRenderedPageBreak/>
        <w:t>Заключение</w:t>
      </w:r>
    </w:p>
    <w:p w:rsidR="00EF0AA4" w:rsidRPr="00EF0AA4" w:rsidRDefault="00EF0AA4" w:rsidP="00EF0AA4">
      <w:pPr>
        <w:spacing w:line="360" w:lineRule="auto"/>
        <w:jc w:val="center"/>
        <w:rPr>
          <w:rFonts w:ascii="Times New Roman" w:hAnsi="Times New Roman" w:cs="Times New Roman"/>
          <w:b/>
          <w:sz w:val="32"/>
          <w:szCs w:val="32"/>
        </w:rPr>
      </w:pPr>
    </w:p>
    <w:p w:rsidR="00EF0AA4" w:rsidRPr="00EF0AA4" w:rsidRDefault="00EF0AA4" w:rsidP="00EF0AA4">
      <w:pPr>
        <w:spacing w:line="360" w:lineRule="auto"/>
        <w:jc w:val="both"/>
        <w:rPr>
          <w:rFonts w:ascii="Times New Roman" w:hAnsi="Times New Roman"/>
          <w:sz w:val="28"/>
          <w:szCs w:val="28"/>
        </w:rPr>
      </w:pPr>
      <w:r w:rsidRPr="00EF0AA4">
        <w:rPr>
          <w:rFonts w:ascii="Times New Roman" w:hAnsi="Times New Roman" w:cs="Times New Roman"/>
          <w:sz w:val="28"/>
          <w:szCs w:val="28"/>
        </w:rPr>
        <w:tab/>
        <w:t xml:space="preserve">Интерес к системе финансового регулирования </w:t>
      </w:r>
      <w:r w:rsidRPr="00EF0AA4">
        <w:rPr>
          <w:rFonts w:ascii="Times New Roman" w:hAnsi="Times New Roman" w:cs="Times New Roman"/>
          <w:sz w:val="28"/>
          <w:szCs w:val="28"/>
          <w:lang w:val="en-US"/>
        </w:rPr>
        <w:t>Twin</w:t>
      </w:r>
      <w:r w:rsidRPr="00EF0AA4">
        <w:rPr>
          <w:rFonts w:ascii="Times New Roman" w:hAnsi="Times New Roman" w:cs="Times New Roman"/>
          <w:sz w:val="28"/>
          <w:szCs w:val="28"/>
        </w:rPr>
        <w:t xml:space="preserve"> </w:t>
      </w:r>
      <w:r w:rsidRPr="00EF0AA4">
        <w:rPr>
          <w:rFonts w:ascii="Times New Roman" w:hAnsi="Times New Roman" w:cs="Times New Roman"/>
          <w:sz w:val="28"/>
          <w:szCs w:val="28"/>
          <w:lang w:val="en-US"/>
        </w:rPr>
        <w:t>Peaks</w:t>
      </w:r>
      <w:r w:rsidRPr="00EF0AA4">
        <w:rPr>
          <w:rFonts w:ascii="Times New Roman" w:hAnsi="Times New Roman" w:cs="Times New Roman"/>
          <w:sz w:val="28"/>
          <w:szCs w:val="28"/>
        </w:rPr>
        <w:t xml:space="preserve">, применяющейся  в Австралии, возрос после финансового кризиса 2008 года. Устойчивость австралийских рынков, а также минимальное количество негативных последствий для финансового сектора спровоцировали пересмотр систем надзора, использующихся в других странах. Отличительной чертой </w:t>
      </w:r>
      <w:r w:rsidRPr="00EF0AA4">
        <w:rPr>
          <w:rFonts w:ascii="Times New Roman" w:hAnsi="Times New Roman"/>
          <w:sz w:val="28"/>
          <w:szCs w:val="28"/>
        </w:rPr>
        <w:t xml:space="preserve">режима </w:t>
      </w:r>
      <w:r w:rsidRPr="00EF0AA4">
        <w:rPr>
          <w:rFonts w:ascii="Times New Roman" w:hAnsi="Times New Roman" w:cs="Times New Roman"/>
          <w:sz w:val="28"/>
          <w:szCs w:val="28"/>
          <w:lang w:val="en-US"/>
        </w:rPr>
        <w:t>Twin</w:t>
      </w:r>
      <w:r w:rsidRPr="00EF0AA4">
        <w:rPr>
          <w:rFonts w:ascii="Times New Roman" w:hAnsi="Times New Roman" w:cs="Times New Roman"/>
          <w:sz w:val="28"/>
          <w:szCs w:val="28"/>
        </w:rPr>
        <w:t xml:space="preserve"> </w:t>
      </w:r>
      <w:r w:rsidRPr="00EF0AA4">
        <w:rPr>
          <w:rFonts w:ascii="Times New Roman" w:hAnsi="Times New Roman" w:cs="Times New Roman"/>
          <w:sz w:val="28"/>
          <w:szCs w:val="28"/>
          <w:lang w:val="en-US"/>
        </w:rPr>
        <w:t>Peaks</w:t>
      </w:r>
      <w:r w:rsidRPr="00EF0AA4">
        <w:rPr>
          <w:rFonts w:ascii="Times New Roman" w:hAnsi="Times New Roman"/>
          <w:sz w:val="28"/>
          <w:szCs w:val="28"/>
        </w:rPr>
        <w:t xml:space="preserve"> являются обширные регулятивные полномочия австралийской фондовой биржи наряду с существованием двух суверенных регуляторов (Австралийской администрации регулирования с совещательным правом и Австралийской комиссии по ценным бумагам и инвестициям), осуществляющих контрольно-надзорную и правоприменительную деятельность. </w:t>
      </w:r>
      <w:proofErr w:type="gramStart"/>
      <w:r w:rsidRPr="00EF0AA4">
        <w:rPr>
          <w:rFonts w:ascii="Times New Roman" w:hAnsi="Times New Roman"/>
          <w:sz w:val="28"/>
          <w:szCs w:val="28"/>
        </w:rPr>
        <w:t xml:space="preserve">Резервный банк Австралии, Казначейство и Правительство также активно вовлечены в сферу финансового регулирования. </w:t>
      </w:r>
      <w:proofErr w:type="gramEnd"/>
    </w:p>
    <w:p w:rsidR="00EF0AA4" w:rsidRPr="00EF0AA4" w:rsidRDefault="00EF0AA4" w:rsidP="00EF0AA4">
      <w:pPr>
        <w:spacing w:line="360" w:lineRule="auto"/>
        <w:jc w:val="both"/>
        <w:rPr>
          <w:rFonts w:ascii="Times New Roman" w:hAnsi="Times New Roman"/>
          <w:sz w:val="28"/>
          <w:szCs w:val="28"/>
        </w:rPr>
      </w:pPr>
      <w:r w:rsidRPr="00EF0AA4">
        <w:rPr>
          <w:rFonts w:ascii="Times New Roman" w:hAnsi="Times New Roman"/>
          <w:sz w:val="28"/>
          <w:szCs w:val="28"/>
        </w:rPr>
        <w:tab/>
        <w:t xml:space="preserve">Для анализа эффективности системы </w:t>
      </w:r>
      <w:r w:rsidRPr="00EF0AA4">
        <w:rPr>
          <w:rFonts w:ascii="Times New Roman" w:hAnsi="Times New Roman"/>
          <w:sz w:val="28"/>
          <w:szCs w:val="28"/>
          <w:lang w:val="en-US"/>
        </w:rPr>
        <w:t>Twin</w:t>
      </w:r>
      <w:r w:rsidRPr="00EF0AA4">
        <w:rPr>
          <w:rFonts w:ascii="Times New Roman" w:hAnsi="Times New Roman"/>
          <w:sz w:val="28"/>
          <w:szCs w:val="28"/>
        </w:rPr>
        <w:t xml:space="preserve"> </w:t>
      </w:r>
      <w:r w:rsidRPr="00EF0AA4">
        <w:rPr>
          <w:rFonts w:ascii="Times New Roman" w:hAnsi="Times New Roman"/>
          <w:sz w:val="28"/>
          <w:szCs w:val="28"/>
          <w:lang w:val="en-US"/>
        </w:rPr>
        <w:t>Peaks</w:t>
      </w:r>
      <w:r w:rsidRPr="00EF0AA4">
        <w:rPr>
          <w:rFonts w:ascii="Times New Roman" w:hAnsi="Times New Roman"/>
          <w:sz w:val="28"/>
          <w:szCs w:val="28"/>
        </w:rPr>
        <w:t xml:space="preserve"> в работе были применены два вида расчета информационной эффективности рынка, а также оценивались особенности поведения профучастников с помощью выявления их индивидуальных структур предпочтения. По результатам проведенного исследования можно сделать следующие выводы:</w:t>
      </w:r>
    </w:p>
    <w:p w:rsidR="00EF0AA4" w:rsidRPr="00EF0AA4" w:rsidRDefault="00EF0AA4" w:rsidP="00EF0AA4">
      <w:pPr>
        <w:numPr>
          <w:ilvl w:val="0"/>
          <w:numId w:val="2"/>
        </w:numPr>
        <w:spacing w:line="360" w:lineRule="auto"/>
        <w:contextualSpacing/>
        <w:jc w:val="both"/>
        <w:rPr>
          <w:rFonts w:ascii="Times New Roman" w:hAnsi="Times New Roman"/>
          <w:sz w:val="28"/>
          <w:szCs w:val="28"/>
        </w:rPr>
      </w:pPr>
      <w:r w:rsidRPr="00EF0AA4">
        <w:rPr>
          <w:rFonts w:ascii="Times New Roman" w:hAnsi="Times New Roman"/>
          <w:sz w:val="28"/>
          <w:szCs w:val="28"/>
        </w:rPr>
        <w:t xml:space="preserve">Уровни информационной эффективности Австралии и США, рассчитанные с применением энтропии по Шеннону и символьного анализа, близки к значениям сильной эффективности рынка, а также отличаются друг от друга незначительно. Это свидетельствует об одинаковой результативности разных подходов к регулированию: </w:t>
      </w:r>
      <w:r w:rsidRPr="00EF0AA4">
        <w:rPr>
          <w:rFonts w:ascii="Times New Roman" w:hAnsi="Times New Roman" w:cs="Times New Roman"/>
          <w:sz w:val="28"/>
          <w:szCs w:val="28"/>
        </w:rPr>
        <w:t xml:space="preserve">предоставления саморегулируемым организациям независимости и широкого круга полномочий во многих областях регулирования в США и тесного взаимодействия национальных суверенных </w:t>
      </w:r>
      <w:r w:rsidRPr="00EF0AA4">
        <w:rPr>
          <w:rFonts w:ascii="Times New Roman" w:hAnsi="Times New Roman" w:cs="Times New Roman"/>
          <w:sz w:val="28"/>
          <w:szCs w:val="28"/>
        </w:rPr>
        <w:lastRenderedPageBreak/>
        <w:t xml:space="preserve">регуляторов с саморегулируемыми организациями, сфера деятельности которых четко определена и контролируется, в Австралии. </w:t>
      </w:r>
    </w:p>
    <w:p w:rsidR="00EF0AA4" w:rsidRPr="00EF0AA4" w:rsidRDefault="00EF0AA4" w:rsidP="00EF0AA4">
      <w:pPr>
        <w:numPr>
          <w:ilvl w:val="0"/>
          <w:numId w:val="2"/>
        </w:numPr>
        <w:spacing w:line="360" w:lineRule="auto"/>
        <w:contextualSpacing/>
        <w:jc w:val="both"/>
        <w:rPr>
          <w:rFonts w:ascii="Times New Roman" w:hAnsi="Times New Roman"/>
          <w:sz w:val="28"/>
          <w:szCs w:val="28"/>
        </w:rPr>
      </w:pPr>
      <w:r w:rsidRPr="00EF0AA4">
        <w:rPr>
          <w:rFonts w:ascii="Times New Roman" w:hAnsi="Times New Roman" w:cs="Times New Roman"/>
          <w:sz w:val="28"/>
          <w:szCs w:val="28"/>
        </w:rPr>
        <w:t xml:space="preserve">Состояния неэффективности рынка, полученные с помощью относительной энтропии по Кульбаку-Лейблеру, свидетельствуют о высоком уровне эффективности рынка в Австралии и США, а также </w:t>
      </w:r>
      <w:r w:rsidRPr="00EF0AA4">
        <w:rPr>
          <w:rFonts w:ascii="Times New Roman" w:hAnsi="Times New Roman"/>
          <w:sz w:val="28"/>
          <w:szCs w:val="28"/>
        </w:rPr>
        <w:t xml:space="preserve">подтверждают предположения первого метода об инвариантности двух моделей регулирования с точки зрения информационной эффективности. </w:t>
      </w:r>
    </w:p>
    <w:p w:rsidR="00EF0AA4" w:rsidRPr="00EF0AA4" w:rsidRDefault="00EF0AA4" w:rsidP="00EF0AA4">
      <w:pPr>
        <w:numPr>
          <w:ilvl w:val="0"/>
          <w:numId w:val="2"/>
        </w:numPr>
        <w:spacing w:line="360" w:lineRule="auto"/>
        <w:contextualSpacing/>
        <w:jc w:val="both"/>
        <w:rPr>
          <w:rFonts w:ascii="Times New Roman" w:hAnsi="Times New Roman"/>
          <w:sz w:val="28"/>
          <w:szCs w:val="28"/>
        </w:rPr>
      </w:pPr>
      <w:r w:rsidRPr="00EF0AA4">
        <w:rPr>
          <w:rFonts w:ascii="Times New Roman" w:hAnsi="Times New Roman"/>
          <w:sz w:val="28"/>
          <w:szCs w:val="28"/>
        </w:rPr>
        <w:t xml:space="preserve">Выявленная структура индивидуальных предпочтений австралийских профучастников показала, что они не склонны максимизировать стоимости своих портфелей, как в минимальных состояниях неэффективности, так и в максимальных. Однако близость нижних границ интервалов предпочтений к эмпирическим минимальным состояниям неэффективности свидетельствует о предпочтительности более эффективных состояний рынка. </w:t>
      </w:r>
    </w:p>
    <w:p w:rsidR="00EF0AA4" w:rsidRPr="00EF0AA4" w:rsidRDefault="00EF0AA4" w:rsidP="00EF0AA4">
      <w:pPr>
        <w:numPr>
          <w:ilvl w:val="0"/>
          <w:numId w:val="2"/>
        </w:numPr>
        <w:spacing w:line="360" w:lineRule="auto"/>
        <w:contextualSpacing/>
        <w:jc w:val="both"/>
        <w:rPr>
          <w:rFonts w:ascii="Times New Roman" w:eastAsiaTheme="minorEastAsia" w:hAnsi="Times New Roman" w:cs="Times New Roman"/>
          <w:sz w:val="28"/>
          <w:szCs w:val="28"/>
        </w:rPr>
      </w:pPr>
      <w:r w:rsidRPr="00EF0AA4">
        <w:rPr>
          <w:rFonts w:ascii="Times New Roman" w:eastAsiaTheme="minorEastAsia" w:hAnsi="Times New Roman" w:cs="Times New Roman"/>
          <w:sz w:val="28"/>
          <w:szCs w:val="28"/>
        </w:rPr>
        <w:t xml:space="preserve">Согласно рассчитанным параметрам </w:t>
      </w:r>
      <w:r w:rsidRPr="00EF0AA4">
        <w:rPr>
          <w:rFonts w:ascii="Times New Roman" w:eastAsiaTheme="minorEastAsia" w:hAnsi="Times New Roman" w:cs="Times New Roman"/>
          <w:sz w:val="28"/>
          <w:szCs w:val="28"/>
          <w:lang w:val="en-US"/>
        </w:rPr>
        <w:t>RE</w:t>
      </w:r>
      <w:r w:rsidRPr="00EF0AA4">
        <w:rPr>
          <w:rFonts w:ascii="Times New Roman" w:eastAsiaTheme="minorEastAsia" w:hAnsi="Times New Roman" w:cs="Times New Roman"/>
          <w:sz w:val="28"/>
          <w:szCs w:val="28"/>
        </w:rPr>
        <w:t xml:space="preserve"> и </w:t>
      </w:r>
      <w:r w:rsidRPr="00EF0AA4">
        <w:rPr>
          <w:rFonts w:ascii="Times New Roman" w:eastAsiaTheme="minorEastAsia" w:hAnsi="Times New Roman" w:cs="Times New Roman"/>
          <w:sz w:val="28"/>
          <w:szCs w:val="28"/>
          <w:lang w:val="en-US"/>
        </w:rPr>
        <w:t>IRE</w:t>
      </w:r>
      <w:r w:rsidRPr="00EF0AA4">
        <w:rPr>
          <w:rFonts w:ascii="Times New Roman" w:eastAsiaTheme="minorEastAsia" w:hAnsi="Times New Roman" w:cs="Times New Roman"/>
          <w:sz w:val="28"/>
          <w:szCs w:val="28"/>
        </w:rPr>
        <w:t xml:space="preserve">, нормотворческий процесс в Австралии организован эффективно, тогда как в области правоприменения вмешательства суверенных регуляторов происходят при аномальном числе зафиксированных нарушений. </w:t>
      </w:r>
    </w:p>
    <w:p w:rsidR="00EF0AA4" w:rsidRPr="00EF0AA4" w:rsidRDefault="00EF0AA4" w:rsidP="00EF0AA4">
      <w:pPr>
        <w:numPr>
          <w:ilvl w:val="0"/>
          <w:numId w:val="2"/>
        </w:numPr>
        <w:spacing w:line="360" w:lineRule="auto"/>
        <w:contextualSpacing/>
        <w:jc w:val="both"/>
        <w:rPr>
          <w:rFonts w:ascii="Times New Roman" w:eastAsiaTheme="minorEastAsia" w:hAnsi="Times New Roman" w:cs="Times New Roman"/>
          <w:sz w:val="28"/>
          <w:szCs w:val="28"/>
        </w:rPr>
      </w:pPr>
      <w:r w:rsidRPr="00EF0AA4">
        <w:rPr>
          <w:rFonts w:ascii="Times New Roman" w:eastAsiaTheme="minorEastAsia" w:hAnsi="Times New Roman" w:cs="Times New Roman"/>
          <w:sz w:val="28"/>
          <w:szCs w:val="28"/>
        </w:rPr>
        <w:t>Сравнение структуры предпочтений в Австралии и США показало, что нижние и верхние границы интервала предпочтений неэффективности рынка в Австралии находятся ближе к эмпирическим минимумам неэффективности, чем в США. Это свидетельствует о меньшей склонности участников финансового рынка Австралии к совершению правонарушений на рынке.</w:t>
      </w:r>
    </w:p>
    <w:p w:rsidR="00EF0AA4" w:rsidRPr="00EF0AA4" w:rsidRDefault="00EF0AA4" w:rsidP="00EF0AA4">
      <w:pPr>
        <w:numPr>
          <w:ilvl w:val="0"/>
          <w:numId w:val="2"/>
        </w:numPr>
        <w:spacing w:line="360" w:lineRule="auto"/>
        <w:contextualSpacing/>
        <w:jc w:val="both"/>
        <w:rPr>
          <w:rFonts w:ascii="Times New Roman" w:eastAsiaTheme="minorEastAsia" w:hAnsi="Times New Roman" w:cs="Times New Roman"/>
          <w:sz w:val="28"/>
          <w:szCs w:val="28"/>
        </w:rPr>
      </w:pPr>
      <w:r w:rsidRPr="00EF0AA4">
        <w:rPr>
          <w:rFonts w:ascii="Times New Roman" w:eastAsiaTheme="minorEastAsia" w:hAnsi="Times New Roman" w:cs="Times New Roman"/>
          <w:sz w:val="28"/>
          <w:szCs w:val="28"/>
        </w:rPr>
        <w:t xml:space="preserve">Система финансового регулирования </w:t>
      </w:r>
      <w:r w:rsidRPr="00EF0AA4">
        <w:rPr>
          <w:rFonts w:ascii="Times New Roman" w:eastAsiaTheme="minorEastAsia" w:hAnsi="Times New Roman" w:cs="Times New Roman"/>
          <w:sz w:val="28"/>
          <w:szCs w:val="28"/>
          <w:lang w:val="en-US"/>
        </w:rPr>
        <w:t>Twin</w:t>
      </w:r>
      <w:r w:rsidRPr="00EF0AA4">
        <w:rPr>
          <w:rFonts w:ascii="Times New Roman" w:eastAsiaTheme="minorEastAsia" w:hAnsi="Times New Roman" w:cs="Times New Roman"/>
          <w:sz w:val="28"/>
          <w:szCs w:val="28"/>
        </w:rPr>
        <w:t xml:space="preserve"> </w:t>
      </w:r>
      <w:r w:rsidRPr="00EF0AA4">
        <w:rPr>
          <w:rFonts w:ascii="Times New Roman" w:eastAsiaTheme="minorEastAsia" w:hAnsi="Times New Roman" w:cs="Times New Roman"/>
          <w:sz w:val="28"/>
          <w:szCs w:val="28"/>
          <w:lang w:val="en-US"/>
        </w:rPr>
        <w:t>Peaks</w:t>
      </w:r>
      <w:r w:rsidRPr="00EF0AA4">
        <w:rPr>
          <w:rFonts w:ascii="Times New Roman" w:eastAsiaTheme="minorEastAsia" w:hAnsi="Times New Roman" w:cs="Times New Roman"/>
          <w:sz w:val="28"/>
          <w:szCs w:val="28"/>
        </w:rPr>
        <w:t xml:space="preserve"> характеризуется более низкой глубиной конфликта интересов между участниками рынка и суверенными регуляторами, чем система, основанная на саморегулируемых организациях.  </w:t>
      </w:r>
    </w:p>
    <w:p w:rsidR="003A5CAD" w:rsidRDefault="003A5CAD">
      <w:pPr>
        <w:rPr>
          <w:rFonts w:ascii="Times New Roman" w:hAnsi="Times New Roman"/>
          <w:sz w:val="28"/>
          <w:szCs w:val="28"/>
        </w:rPr>
      </w:pPr>
      <w:r>
        <w:rPr>
          <w:rFonts w:ascii="Times New Roman" w:hAnsi="Times New Roman"/>
          <w:sz w:val="28"/>
          <w:szCs w:val="28"/>
        </w:rPr>
        <w:br w:type="page"/>
      </w:r>
    </w:p>
    <w:p w:rsidR="000A78EF" w:rsidRPr="00F17D60" w:rsidRDefault="000A78EF" w:rsidP="000A78EF">
      <w:pPr>
        <w:spacing w:line="360" w:lineRule="auto"/>
        <w:jc w:val="center"/>
        <w:rPr>
          <w:rFonts w:ascii="Times New Roman" w:hAnsi="Times New Roman" w:cs="Times New Roman"/>
          <w:b/>
          <w:sz w:val="32"/>
          <w:szCs w:val="32"/>
        </w:rPr>
      </w:pPr>
      <w:r w:rsidRPr="00F17D60">
        <w:rPr>
          <w:rFonts w:ascii="Times New Roman" w:hAnsi="Times New Roman" w:cs="Times New Roman"/>
          <w:b/>
          <w:sz w:val="32"/>
          <w:szCs w:val="32"/>
        </w:rPr>
        <w:lastRenderedPageBreak/>
        <w:t>Приложение</w:t>
      </w:r>
    </w:p>
    <w:p w:rsidR="000A78EF" w:rsidRDefault="000A78EF" w:rsidP="000A78EF">
      <w:pPr>
        <w:spacing w:line="36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99200" behindDoc="0" locked="0" layoutInCell="1" allowOverlap="1" wp14:anchorId="0392F60D" wp14:editId="37F5F477">
                <wp:simplePos x="0" y="0"/>
                <wp:positionH relativeFrom="column">
                  <wp:posOffset>152400</wp:posOffset>
                </wp:positionH>
                <wp:positionV relativeFrom="paragraph">
                  <wp:posOffset>254000</wp:posOffset>
                </wp:positionV>
                <wp:extent cx="5940425" cy="228600"/>
                <wp:effectExtent l="0" t="0" r="3175" b="0"/>
                <wp:wrapTight wrapText="bothSides">
                  <wp:wrapPolygon edited="0">
                    <wp:start x="0" y="0"/>
                    <wp:lineTo x="0" y="19800"/>
                    <wp:lineTo x="21542" y="19800"/>
                    <wp:lineTo x="21542" y="0"/>
                    <wp:lineTo x="0" y="0"/>
                  </wp:wrapPolygon>
                </wp:wrapTight>
                <wp:docPr id="1060" name="Поле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Default="00DA0396" w:rsidP="000A78EF">
                            <w:pPr>
                              <w:pStyle w:val="aa"/>
                              <w:jc w:val="center"/>
                              <w:rPr>
                                <w:rFonts w:ascii="Times New Roman" w:hAnsi="Times New Roman"/>
                                <w:color w:val="auto"/>
                                <w:sz w:val="24"/>
                                <w:szCs w:val="24"/>
                              </w:rPr>
                            </w:pPr>
                            <w:r>
                              <w:rPr>
                                <w:rFonts w:ascii="Times New Roman" w:hAnsi="Times New Roman"/>
                                <w:color w:val="auto"/>
                                <w:sz w:val="24"/>
                                <w:szCs w:val="24"/>
                              </w:rPr>
                              <w:t xml:space="preserve">Схема </w:t>
                            </w:r>
                            <w:r>
                              <w:rPr>
                                <w:rFonts w:ascii="Times New Roman" w:hAnsi="Times New Roman"/>
                                <w:color w:val="auto"/>
                                <w:sz w:val="24"/>
                                <w:szCs w:val="24"/>
                              </w:rPr>
                              <w:fldChar w:fldCharType="begin"/>
                            </w:r>
                            <w:r>
                              <w:rPr>
                                <w:rFonts w:ascii="Times New Roman" w:hAnsi="Times New Roman"/>
                                <w:color w:val="auto"/>
                                <w:sz w:val="24"/>
                                <w:szCs w:val="24"/>
                              </w:rPr>
                              <w:instrText xml:space="preserve"> SEQ Схема \* ARABIC </w:instrText>
                            </w:r>
                            <w:r>
                              <w:rPr>
                                <w:rFonts w:ascii="Times New Roman" w:hAnsi="Times New Roman"/>
                                <w:color w:val="auto"/>
                                <w:sz w:val="24"/>
                                <w:szCs w:val="24"/>
                              </w:rPr>
                              <w:fldChar w:fldCharType="separate"/>
                            </w:r>
                            <w:r>
                              <w:rPr>
                                <w:rFonts w:ascii="Times New Roman" w:hAnsi="Times New Roman"/>
                                <w:noProof/>
                                <w:color w:val="auto"/>
                                <w:sz w:val="24"/>
                                <w:szCs w:val="24"/>
                              </w:rPr>
                              <w:t>1</w:t>
                            </w:r>
                            <w:r>
                              <w:rPr>
                                <w:rFonts w:ascii="Times New Roman" w:hAnsi="Times New Roman"/>
                                <w:color w:val="auto"/>
                                <w:sz w:val="24"/>
                                <w:szCs w:val="24"/>
                              </w:rPr>
                              <w:fldChar w:fldCharType="end"/>
                            </w:r>
                            <w:r>
                              <w:rPr>
                                <w:rFonts w:ascii="Times New Roman" w:hAnsi="Times New Roman"/>
                                <w:color w:val="auto"/>
                                <w:sz w:val="24"/>
                                <w:szCs w:val="24"/>
                              </w:rPr>
                              <w:t>: Институциональный подход к регулированию в Австралии (до 1998 года)</w:t>
                            </w:r>
                          </w:p>
                          <w:p w:rsidR="00DA0396" w:rsidRDefault="00DA0396" w:rsidP="000A78EF">
                            <w:pPr>
                              <w:jc w:val="cente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60" o:spid="_x0000_s1050" type="#_x0000_t202" style="position:absolute;left:0;text-align:left;margin-left:12pt;margin-top:20pt;width:467.7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" stroked="f">
                <v:textbox inset="0,0,0,0">
                  <w:txbxContent>
                    <w:p w:rsidR="00DA0396" w:rsidRDefault="00DA0396" w:rsidP="000A78EF">
                      <w:pPr>
                        <w:pStyle w:val="aa"/>
                        <w:jc w:val="center"/>
                        <w:rPr>
                          <w:rFonts w:ascii="Times New Roman" w:hAnsi="Times New Roman"/>
                          <w:color w:val="auto"/>
                          <w:sz w:val="24"/>
                          <w:szCs w:val="24"/>
                        </w:rPr>
                      </w:pPr>
                      <w:r>
                        <w:rPr>
                          <w:rFonts w:ascii="Times New Roman" w:hAnsi="Times New Roman"/>
                          <w:color w:val="auto"/>
                          <w:sz w:val="24"/>
                          <w:szCs w:val="24"/>
                        </w:rPr>
                        <w:t xml:space="preserve">Схема </w:t>
                      </w:r>
                      <w:r>
                        <w:rPr>
                          <w:rFonts w:ascii="Times New Roman" w:hAnsi="Times New Roman"/>
                          <w:color w:val="auto"/>
                          <w:sz w:val="24"/>
                          <w:szCs w:val="24"/>
                        </w:rPr>
                        <w:fldChar w:fldCharType="begin"/>
                      </w:r>
                      <w:r>
                        <w:rPr>
                          <w:rFonts w:ascii="Times New Roman" w:hAnsi="Times New Roman"/>
                          <w:color w:val="auto"/>
                          <w:sz w:val="24"/>
                          <w:szCs w:val="24"/>
                        </w:rPr>
                        <w:instrText xml:space="preserve"> SEQ Схема \* ARABIC </w:instrText>
                      </w:r>
                      <w:r>
                        <w:rPr>
                          <w:rFonts w:ascii="Times New Roman" w:hAnsi="Times New Roman"/>
                          <w:color w:val="auto"/>
                          <w:sz w:val="24"/>
                          <w:szCs w:val="24"/>
                        </w:rPr>
                        <w:fldChar w:fldCharType="separate"/>
                      </w:r>
                      <w:r>
                        <w:rPr>
                          <w:rFonts w:ascii="Times New Roman" w:hAnsi="Times New Roman"/>
                          <w:noProof/>
                          <w:color w:val="auto"/>
                          <w:sz w:val="24"/>
                          <w:szCs w:val="24"/>
                        </w:rPr>
                        <w:t>1</w:t>
                      </w:r>
                      <w:r>
                        <w:rPr>
                          <w:rFonts w:ascii="Times New Roman" w:hAnsi="Times New Roman"/>
                          <w:color w:val="auto"/>
                          <w:sz w:val="24"/>
                          <w:szCs w:val="24"/>
                        </w:rPr>
                        <w:fldChar w:fldCharType="end"/>
                      </w:r>
                      <w:r>
                        <w:rPr>
                          <w:rFonts w:ascii="Times New Roman" w:hAnsi="Times New Roman"/>
                          <w:color w:val="auto"/>
                          <w:sz w:val="24"/>
                          <w:szCs w:val="24"/>
                        </w:rPr>
                        <w:t>: Институциональный подход к регулированию в Австралии (до 1998 года)</w:t>
                      </w:r>
                    </w:p>
                    <w:p w:rsidR="00DA0396" w:rsidRDefault="00DA0396" w:rsidP="000A78EF">
                      <w:pPr>
                        <w:jc w:val="center"/>
                        <w:rPr>
                          <w:sz w:val="24"/>
                          <w:szCs w:val="24"/>
                        </w:rPr>
                      </w:pPr>
                    </w:p>
                  </w:txbxContent>
                </v:textbox>
                <w10:wrap type="tight"/>
              </v:shape>
            </w:pict>
          </mc:Fallback>
        </mc:AlternateContent>
      </w:r>
    </w:p>
    <w:p w:rsidR="000A78EF" w:rsidRDefault="000A78EF" w:rsidP="000A78EF">
      <w:pPr>
        <w:spacing w:line="36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701248" behindDoc="0" locked="0" layoutInCell="1" allowOverlap="1" wp14:anchorId="71B0455B" wp14:editId="1261A2E1">
                <wp:simplePos x="0" y="0"/>
                <wp:positionH relativeFrom="column">
                  <wp:posOffset>-74930</wp:posOffset>
                </wp:positionH>
                <wp:positionV relativeFrom="paragraph">
                  <wp:posOffset>4568190</wp:posOffset>
                </wp:positionV>
                <wp:extent cx="5940425" cy="228600"/>
                <wp:effectExtent l="0" t="0" r="3175" b="0"/>
                <wp:wrapTight wrapText="bothSides">
                  <wp:wrapPolygon edited="0">
                    <wp:start x="0" y="0"/>
                    <wp:lineTo x="0" y="19800"/>
                    <wp:lineTo x="21542" y="19800"/>
                    <wp:lineTo x="21542" y="0"/>
                    <wp:lineTo x="0" y="0"/>
                  </wp:wrapPolygon>
                </wp:wrapTight>
                <wp:docPr id="1061" name="Поле 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Default="00DA0396" w:rsidP="000A78EF">
                            <w:pPr>
                              <w:pStyle w:val="aa"/>
                              <w:jc w:val="center"/>
                              <w:rPr>
                                <w:rFonts w:ascii="Times New Roman" w:hAnsi="Times New Roman"/>
                                <w:color w:val="auto"/>
                                <w:sz w:val="24"/>
                                <w:szCs w:val="24"/>
                              </w:rPr>
                            </w:pPr>
                            <w:r>
                              <w:rPr>
                                <w:rFonts w:ascii="Times New Roman" w:hAnsi="Times New Roman"/>
                                <w:color w:val="auto"/>
                                <w:sz w:val="24"/>
                                <w:szCs w:val="24"/>
                              </w:rPr>
                              <w:t>Таблица 2: Конфликт в банковском секторе при введении новой системы</w:t>
                            </w:r>
                          </w:p>
                          <w:p w:rsidR="00DA0396" w:rsidRDefault="00DA0396" w:rsidP="000A78EF">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61" o:spid="_x0000_s1051" type="#_x0000_t202" style="position:absolute;left:0;text-align:left;margin-left:-5.9pt;margin-top:359.7pt;width:467.75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" stroked="f">
                <v:textbox inset="0,0,0,0">
                  <w:txbxContent>
                    <w:p w:rsidR="00DA0396" w:rsidRDefault="00DA0396" w:rsidP="000A78EF">
                      <w:pPr>
                        <w:pStyle w:val="aa"/>
                        <w:jc w:val="center"/>
                        <w:rPr>
                          <w:rFonts w:ascii="Times New Roman" w:hAnsi="Times New Roman"/>
                          <w:color w:val="auto"/>
                          <w:sz w:val="24"/>
                          <w:szCs w:val="24"/>
                        </w:rPr>
                      </w:pPr>
                      <w:r>
                        <w:rPr>
                          <w:rFonts w:ascii="Times New Roman" w:hAnsi="Times New Roman"/>
                          <w:color w:val="auto"/>
                          <w:sz w:val="24"/>
                          <w:szCs w:val="24"/>
                        </w:rPr>
                        <w:t>Таблица 2: Конфликт в банковском секторе при введении новой системы</w:t>
                      </w:r>
                    </w:p>
                    <w:p w:rsidR="00DA0396" w:rsidRDefault="00DA0396" w:rsidP="000A78EF">
                      <w:pPr>
                        <w:jc w:val="center"/>
                      </w:pPr>
                    </w:p>
                  </w:txbxContent>
                </v:textbox>
                <w10:wrap type="tight"/>
              </v:shape>
            </w:pict>
          </mc:Fallback>
        </mc:AlternateContent>
      </w:r>
      <w:r>
        <w:rPr>
          <w:noProof/>
          <w:lang w:eastAsia="ru-RU"/>
        </w:rPr>
        <mc:AlternateContent>
          <mc:Choice Requires="wps">
            <w:drawing>
              <wp:anchor distT="0" distB="0" distL="114300" distR="114300" simplePos="0" relativeHeight="251700224" behindDoc="0" locked="0" layoutInCell="1" allowOverlap="1" wp14:anchorId="46B25E17" wp14:editId="43D075B7">
                <wp:simplePos x="0" y="0"/>
                <wp:positionH relativeFrom="column">
                  <wp:posOffset>38100</wp:posOffset>
                </wp:positionH>
                <wp:positionV relativeFrom="paragraph">
                  <wp:posOffset>3951605</wp:posOffset>
                </wp:positionV>
                <wp:extent cx="5940425" cy="409575"/>
                <wp:effectExtent l="0" t="0" r="3175" b="0"/>
                <wp:wrapTight wrapText="bothSides">
                  <wp:wrapPolygon edited="0">
                    <wp:start x="0" y="0"/>
                    <wp:lineTo x="0" y="20618"/>
                    <wp:lineTo x="21542" y="20618"/>
                    <wp:lineTo x="21542" y="0"/>
                    <wp:lineTo x="0" y="0"/>
                  </wp:wrapPolygon>
                </wp:wrapTight>
                <wp:docPr id="1062" name="Поле 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Default="00DA0396" w:rsidP="000A78EF">
                            <w:pPr>
                              <w:pStyle w:val="aa"/>
                              <w:jc w:val="right"/>
                              <w:rPr>
                                <w:rFonts w:ascii="Times New Roman" w:hAnsi="Times New Roman"/>
                                <w:noProof/>
                                <w:color w:val="auto"/>
                                <w:sz w:val="20"/>
                                <w:szCs w:val="20"/>
                                <w:lang w:val="en-US"/>
                              </w:rPr>
                            </w:pPr>
                            <w:r>
                              <w:rPr>
                                <w:rFonts w:ascii="Times New Roman" w:hAnsi="Times New Roman"/>
                                <w:color w:val="auto"/>
                                <w:sz w:val="20"/>
                                <w:szCs w:val="20"/>
                              </w:rPr>
                              <w:t>Источник</w:t>
                            </w:r>
                            <w:r>
                              <w:rPr>
                                <w:rFonts w:ascii="Times New Roman" w:hAnsi="Times New Roman"/>
                                <w:color w:val="auto"/>
                                <w:sz w:val="20"/>
                                <w:szCs w:val="20"/>
                                <w:lang w:val="en-US"/>
                              </w:rPr>
                              <w:t xml:space="preserve">: B. Goldsworthy, D. Lewis and G. </w:t>
                            </w:r>
                            <w:proofErr w:type="spellStart"/>
                            <w:r>
                              <w:rPr>
                                <w:rFonts w:ascii="Times New Roman" w:hAnsi="Times New Roman"/>
                                <w:color w:val="auto"/>
                                <w:sz w:val="20"/>
                                <w:szCs w:val="20"/>
                                <w:lang w:val="en-US"/>
                              </w:rPr>
                              <w:t>Shuetrim</w:t>
                            </w:r>
                            <w:proofErr w:type="spellEnd"/>
                            <w:r>
                              <w:rPr>
                                <w:rFonts w:ascii="Times New Roman" w:hAnsi="Times New Roman"/>
                                <w:color w:val="auto"/>
                                <w:sz w:val="20"/>
                                <w:szCs w:val="20"/>
                                <w:lang w:val="en-US"/>
                              </w:rPr>
                              <w:t xml:space="preserve">. 2000. ‘APRA and the Financial System Inquiry’. </w:t>
                            </w:r>
                            <w:proofErr w:type="gramStart"/>
                            <w:r>
                              <w:rPr>
                                <w:rFonts w:ascii="Times New Roman" w:hAnsi="Times New Roman"/>
                                <w:color w:val="auto"/>
                                <w:sz w:val="20"/>
                                <w:szCs w:val="20"/>
                                <w:lang w:val="en-US"/>
                              </w:rPr>
                              <w:t>Working Paper, 3.</w:t>
                            </w:r>
                            <w:proofErr w:type="gramEnd"/>
                            <w:r>
                              <w:rPr>
                                <w:rFonts w:ascii="Times New Roman" w:hAnsi="Times New Roman"/>
                                <w:color w:val="auto"/>
                                <w:sz w:val="20"/>
                                <w:szCs w:val="20"/>
                                <w:lang w:val="en-US"/>
                              </w:rPr>
                              <w:t xml:space="preserve"> Sydney: Australian Prudential Regulation Authority, p.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062" o:spid="_x0000_s1052" type="#_x0000_t202" style="position:absolute;left:0;text-align:left;margin-left:3pt;margin-top:311.15pt;width:467.75pt;height:3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" stroked="f">
                <v:textbox style="mso-fit-shape-to-text:t" inset="0,0,0,0">
                  <w:txbxContent>
                    <w:p w:rsidR="00DA0396" w:rsidRDefault="00DA0396" w:rsidP="000A78EF">
                      <w:pPr>
                        <w:pStyle w:val="aa"/>
                        <w:jc w:val="right"/>
                        <w:rPr>
                          <w:rFonts w:ascii="Times New Roman" w:hAnsi="Times New Roman"/>
                          <w:noProof/>
                          <w:color w:val="auto"/>
                          <w:sz w:val="20"/>
                          <w:szCs w:val="20"/>
                          <w:lang w:val="en-US"/>
                        </w:rPr>
                      </w:pPr>
                      <w:r>
                        <w:rPr>
                          <w:rFonts w:ascii="Times New Roman" w:hAnsi="Times New Roman"/>
                          <w:color w:val="auto"/>
                          <w:sz w:val="20"/>
                          <w:szCs w:val="20"/>
                        </w:rPr>
                        <w:t>Источник</w:t>
                      </w:r>
                      <w:r>
                        <w:rPr>
                          <w:rFonts w:ascii="Times New Roman" w:hAnsi="Times New Roman"/>
                          <w:color w:val="auto"/>
                          <w:sz w:val="20"/>
                          <w:szCs w:val="20"/>
                          <w:lang w:val="en-US"/>
                        </w:rPr>
                        <w:t xml:space="preserve">: B. Goldsworthy, D. Lewis and G. </w:t>
                      </w:r>
                      <w:proofErr w:type="spellStart"/>
                      <w:r>
                        <w:rPr>
                          <w:rFonts w:ascii="Times New Roman" w:hAnsi="Times New Roman"/>
                          <w:color w:val="auto"/>
                          <w:sz w:val="20"/>
                          <w:szCs w:val="20"/>
                          <w:lang w:val="en-US"/>
                        </w:rPr>
                        <w:t>Shuetrim</w:t>
                      </w:r>
                      <w:proofErr w:type="spellEnd"/>
                      <w:r>
                        <w:rPr>
                          <w:rFonts w:ascii="Times New Roman" w:hAnsi="Times New Roman"/>
                          <w:color w:val="auto"/>
                          <w:sz w:val="20"/>
                          <w:szCs w:val="20"/>
                          <w:lang w:val="en-US"/>
                        </w:rPr>
                        <w:t xml:space="preserve">. 2000. ‘APRA and the Financial System Inquiry’. </w:t>
                      </w:r>
                      <w:proofErr w:type="gramStart"/>
                      <w:r>
                        <w:rPr>
                          <w:rFonts w:ascii="Times New Roman" w:hAnsi="Times New Roman"/>
                          <w:color w:val="auto"/>
                          <w:sz w:val="20"/>
                          <w:szCs w:val="20"/>
                          <w:lang w:val="en-US"/>
                        </w:rPr>
                        <w:t>Working Paper, 3.</w:t>
                      </w:r>
                      <w:proofErr w:type="gramEnd"/>
                      <w:r>
                        <w:rPr>
                          <w:rFonts w:ascii="Times New Roman" w:hAnsi="Times New Roman"/>
                          <w:color w:val="auto"/>
                          <w:sz w:val="20"/>
                          <w:szCs w:val="20"/>
                          <w:lang w:val="en-US"/>
                        </w:rPr>
                        <w:t xml:space="preserve"> Sydney: Australian Prudential Regulation Authority, p. 2.</w:t>
                      </w:r>
                    </w:p>
                  </w:txbxContent>
                </v:textbox>
                <w10:wrap type="tight"/>
              </v:shape>
            </w:pict>
          </mc:Fallback>
        </mc:AlternateContent>
      </w:r>
      <w:r>
        <w:rPr>
          <w:noProof/>
          <w:lang w:eastAsia="ru-RU"/>
        </w:rPr>
        <w:drawing>
          <wp:anchor distT="0" distB="0" distL="114300" distR="114300" simplePos="0" relativeHeight="251698176" behindDoc="1" locked="0" layoutInCell="1" allowOverlap="1" wp14:anchorId="2F40D3C2" wp14:editId="650890FE">
            <wp:simplePos x="0" y="0"/>
            <wp:positionH relativeFrom="column">
              <wp:posOffset>130175</wp:posOffset>
            </wp:positionH>
            <wp:positionV relativeFrom="paragraph">
              <wp:posOffset>-49530</wp:posOffset>
            </wp:positionV>
            <wp:extent cx="5940425" cy="3838575"/>
            <wp:effectExtent l="0" t="0" r="3175" b="9525"/>
            <wp:wrapSquare wrapText="bothSides"/>
            <wp:docPr id="1075" name="Рисунок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8385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0A78EF" w:rsidTr="00DA0396">
        <w:tc>
          <w:tcPr>
            <w:tcW w:w="4785" w:type="dxa"/>
            <w:tcBorders>
              <w:top w:val="single" w:sz="4" w:space="0" w:color="000000"/>
              <w:left w:val="single" w:sz="4" w:space="0" w:color="000000"/>
              <w:bottom w:val="single" w:sz="4" w:space="0" w:color="000000"/>
              <w:right w:val="single" w:sz="4" w:space="0" w:color="000000"/>
            </w:tcBorders>
            <w:hideMark/>
          </w:tcPr>
          <w:p w:rsidR="000A78EF" w:rsidRDefault="000A78EF" w:rsidP="00DA0396">
            <w:pPr>
              <w:spacing w:line="360" w:lineRule="auto"/>
              <w:jc w:val="center"/>
              <w:rPr>
                <w:rFonts w:ascii="Times New Roman" w:hAnsi="Times New Roman"/>
                <w:b/>
                <w:sz w:val="28"/>
                <w:szCs w:val="28"/>
                <w:lang w:val="en-US"/>
              </w:rPr>
            </w:pPr>
            <w:r>
              <w:rPr>
                <w:rFonts w:ascii="Times New Roman" w:hAnsi="Times New Roman"/>
                <w:b/>
                <w:sz w:val="28"/>
                <w:szCs w:val="28"/>
              </w:rPr>
              <w:t xml:space="preserve">Сторонники системы </w:t>
            </w:r>
            <w:r>
              <w:rPr>
                <w:rFonts w:ascii="Times New Roman" w:hAnsi="Times New Roman"/>
                <w:b/>
                <w:sz w:val="28"/>
                <w:szCs w:val="28"/>
                <w:lang w:val="en-US"/>
              </w:rPr>
              <w:t>Twin Peaks</w:t>
            </w:r>
          </w:p>
        </w:tc>
        <w:tc>
          <w:tcPr>
            <w:tcW w:w="4786" w:type="dxa"/>
            <w:tcBorders>
              <w:top w:val="single" w:sz="4" w:space="0" w:color="000000"/>
              <w:left w:val="single" w:sz="4" w:space="0" w:color="000000"/>
              <w:bottom w:val="single" w:sz="4" w:space="0" w:color="000000"/>
              <w:right w:val="single" w:sz="4" w:space="0" w:color="000000"/>
            </w:tcBorders>
            <w:hideMark/>
          </w:tcPr>
          <w:p w:rsidR="000A78EF" w:rsidRDefault="000A78EF" w:rsidP="00DA0396">
            <w:pPr>
              <w:spacing w:line="360" w:lineRule="auto"/>
              <w:jc w:val="center"/>
              <w:rPr>
                <w:rFonts w:ascii="Times New Roman" w:hAnsi="Times New Roman"/>
                <w:b/>
                <w:sz w:val="28"/>
                <w:szCs w:val="28"/>
              </w:rPr>
            </w:pPr>
            <w:r>
              <w:rPr>
                <w:rFonts w:ascii="Times New Roman" w:hAnsi="Times New Roman"/>
                <w:b/>
                <w:sz w:val="28"/>
                <w:szCs w:val="28"/>
              </w:rPr>
              <w:t xml:space="preserve">Оппоненты системы </w:t>
            </w:r>
            <w:r>
              <w:rPr>
                <w:rFonts w:ascii="Times New Roman" w:hAnsi="Times New Roman"/>
                <w:b/>
                <w:sz w:val="28"/>
                <w:szCs w:val="28"/>
                <w:lang w:val="en-US"/>
              </w:rPr>
              <w:t>Twin Peaks</w:t>
            </w:r>
          </w:p>
        </w:tc>
      </w:tr>
      <w:tr w:rsidR="000A78EF" w:rsidRPr="00DA0396" w:rsidTr="00DA0396">
        <w:tc>
          <w:tcPr>
            <w:tcW w:w="4785" w:type="dxa"/>
            <w:tcBorders>
              <w:top w:val="single" w:sz="4" w:space="0" w:color="000000"/>
              <w:left w:val="single" w:sz="4" w:space="0" w:color="000000"/>
              <w:bottom w:val="single" w:sz="4" w:space="0" w:color="000000"/>
              <w:right w:val="single" w:sz="4" w:space="0" w:color="000000"/>
            </w:tcBorders>
            <w:hideMark/>
          </w:tcPr>
          <w:p w:rsidR="000A78EF" w:rsidRDefault="000A78EF" w:rsidP="00DA0396">
            <w:pPr>
              <w:spacing w:line="360" w:lineRule="auto"/>
              <w:jc w:val="both"/>
              <w:rPr>
                <w:rFonts w:ascii="Times New Roman" w:hAnsi="Times New Roman"/>
                <w:sz w:val="28"/>
                <w:szCs w:val="28"/>
                <w:lang w:val="en-US"/>
              </w:rPr>
            </w:pPr>
            <w:r>
              <w:rPr>
                <w:rFonts w:ascii="Times New Roman" w:hAnsi="Times New Roman"/>
                <w:sz w:val="28"/>
                <w:szCs w:val="28"/>
                <w:lang w:val="en-US"/>
              </w:rPr>
              <w:t>Australian Mutual Provident Society Limited</w:t>
            </w:r>
          </w:p>
        </w:tc>
        <w:tc>
          <w:tcPr>
            <w:tcW w:w="4786" w:type="dxa"/>
            <w:tcBorders>
              <w:top w:val="single" w:sz="4" w:space="0" w:color="000000"/>
              <w:left w:val="single" w:sz="4" w:space="0" w:color="000000"/>
              <w:bottom w:val="single" w:sz="4" w:space="0" w:color="000000"/>
              <w:right w:val="single" w:sz="4" w:space="0" w:color="000000"/>
            </w:tcBorders>
            <w:hideMark/>
          </w:tcPr>
          <w:p w:rsidR="000A78EF" w:rsidRDefault="000A78EF" w:rsidP="00DA0396">
            <w:pPr>
              <w:spacing w:line="360" w:lineRule="auto"/>
              <w:jc w:val="both"/>
              <w:rPr>
                <w:rFonts w:ascii="Times New Roman" w:hAnsi="Times New Roman"/>
                <w:sz w:val="28"/>
                <w:szCs w:val="28"/>
                <w:lang w:val="en-US"/>
              </w:rPr>
            </w:pPr>
            <w:r>
              <w:rPr>
                <w:rFonts w:ascii="Times New Roman" w:hAnsi="Times New Roman"/>
                <w:sz w:val="28"/>
                <w:szCs w:val="28"/>
                <w:lang w:val="en-US"/>
              </w:rPr>
              <w:t>Australian and New Zealand Banking Group</w:t>
            </w:r>
          </w:p>
        </w:tc>
      </w:tr>
      <w:tr w:rsidR="000A78EF" w:rsidTr="00DA0396">
        <w:tc>
          <w:tcPr>
            <w:tcW w:w="4785" w:type="dxa"/>
            <w:tcBorders>
              <w:top w:val="single" w:sz="4" w:space="0" w:color="000000"/>
              <w:left w:val="single" w:sz="4" w:space="0" w:color="000000"/>
              <w:bottom w:val="single" w:sz="4" w:space="0" w:color="000000"/>
              <w:right w:val="single" w:sz="4" w:space="0" w:color="000000"/>
            </w:tcBorders>
            <w:hideMark/>
          </w:tcPr>
          <w:p w:rsidR="000A78EF" w:rsidRDefault="000A78EF" w:rsidP="00DA0396">
            <w:pPr>
              <w:spacing w:line="360" w:lineRule="auto"/>
              <w:jc w:val="both"/>
              <w:rPr>
                <w:rFonts w:ascii="Times New Roman" w:hAnsi="Times New Roman"/>
                <w:sz w:val="28"/>
                <w:szCs w:val="28"/>
                <w:lang w:val="en-US"/>
              </w:rPr>
            </w:pPr>
            <w:r>
              <w:rPr>
                <w:rFonts w:ascii="Times New Roman" w:hAnsi="Times New Roman"/>
                <w:sz w:val="28"/>
                <w:szCs w:val="28"/>
                <w:lang w:val="en-US"/>
              </w:rPr>
              <w:t>National Australia Bank</w:t>
            </w:r>
          </w:p>
        </w:tc>
        <w:tc>
          <w:tcPr>
            <w:tcW w:w="4786" w:type="dxa"/>
            <w:tcBorders>
              <w:top w:val="single" w:sz="4" w:space="0" w:color="000000"/>
              <w:left w:val="single" w:sz="4" w:space="0" w:color="000000"/>
              <w:bottom w:val="single" w:sz="4" w:space="0" w:color="000000"/>
              <w:right w:val="single" w:sz="4" w:space="0" w:color="000000"/>
            </w:tcBorders>
            <w:hideMark/>
          </w:tcPr>
          <w:p w:rsidR="000A78EF" w:rsidRDefault="000A78EF" w:rsidP="00DA0396">
            <w:pPr>
              <w:spacing w:line="360" w:lineRule="auto"/>
              <w:jc w:val="both"/>
              <w:rPr>
                <w:rFonts w:ascii="Times New Roman" w:hAnsi="Times New Roman"/>
                <w:sz w:val="28"/>
                <w:szCs w:val="28"/>
                <w:lang w:val="en-US"/>
              </w:rPr>
            </w:pPr>
            <w:r>
              <w:rPr>
                <w:rFonts w:ascii="Times New Roman" w:hAnsi="Times New Roman"/>
                <w:sz w:val="28"/>
                <w:szCs w:val="28"/>
                <w:lang w:val="en-US"/>
              </w:rPr>
              <w:t>Commonwealth Bank of Australia</w:t>
            </w:r>
          </w:p>
        </w:tc>
      </w:tr>
      <w:tr w:rsidR="000A78EF" w:rsidTr="00DA0396">
        <w:tc>
          <w:tcPr>
            <w:tcW w:w="4785" w:type="dxa"/>
            <w:tcBorders>
              <w:top w:val="single" w:sz="4" w:space="0" w:color="000000"/>
              <w:left w:val="single" w:sz="4" w:space="0" w:color="000000"/>
              <w:bottom w:val="single" w:sz="4" w:space="0" w:color="000000"/>
              <w:right w:val="single" w:sz="4" w:space="0" w:color="000000"/>
            </w:tcBorders>
            <w:hideMark/>
          </w:tcPr>
          <w:p w:rsidR="000A78EF" w:rsidRDefault="000A78EF" w:rsidP="00DA0396">
            <w:pPr>
              <w:spacing w:line="360" w:lineRule="auto"/>
              <w:jc w:val="both"/>
              <w:rPr>
                <w:rFonts w:ascii="Times New Roman" w:hAnsi="Times New Roman"/>
                <w:sz w:val="28"/>
                <w:szCs w:val="28"/>
                <w:lang w:val="en-US"/>
              </w:rPr>
            </w:pPr>
            <w:r>
              <w:rPr>
                <w:rFonts w:ascii="Times New Roman" w:hAnsi="Times New Roman"/>
                <w:sz w:val="28"/>
                <w:szCs w:val="28"/>
                <w:lang w:val="en-US"/>
              </w:rPr>
              <w:t>National Mutual Holdings Limited</w:t>
            </w:r>
          </w:p>
        </w:tc>
        <w:tc>
          <w:tcPr>
            <w:tcW w:w="4786" w:type="dxa"/>
            <w:tcBorders>
              <w:top w:val="single" w:sz="4" w:space="0" w:color="000000"/>
              <w:left w:val="single" w:sz="4" w:space="0" w:color="000000"/>
              <w:bottom w:val="single" w:sz="4" w:space="0" w:color="000000"/>
              <w:right w:val="single" w:sz="4" w:space="0" w:color="000000"/>
            </w:tcBorders>
            <w:hideMark/>
          </w:tcPr>
          <w:p w:rsidR="000A78EF" w:rsidRDefault="000A78EF" w:rsidP="00DA0396">
            <w:pPr>
              <w:spacing w:line="360" w:lineRule="auto"/>
              <w:jc w:val="both"/>
              <w:rPr>
                <w:rFonts w:ascii="Times New Roman" w:hAnsi="Times New Roman"/>
                <w:sz w:val="28"/>
                <w:szCs w:val="28"/>
                <w:lang w:val="en-US"/>
              </w:rPr>
            </w:pPr>
            <w:r>
              <w:rPr>
                <w:rFonts w:ascii="Times New Roman" w:hAnsi="Times New Roman"/>
                <w:sz w:val="28"/>
                <w:szCs w:val="28"/>
                <w:lang w:val="en-US"/>
              </w:rPr>
              <w:t>Westpac Banking Corporation</w:t>
            </w:r>
          </w:p>
        </w:tc>
      </w:tr>
    </w:tbl>
    <w:p w:rsidR="000A78EF" w:rsidRDefault="000A78EF" w:rsidP="000A78EF">
      <w:pPr>
        <w:tabs>
          <w:tab w:val="left" w:pos="5781"/>
        </w:tabs>
        <w:rPr>
          <w:rFonts w:ascii="Times New Roman" w:hAnsi="Times New Roman" w:cs="Times New Roman"/>
          <w:sz w:val="28"/>
          <w:szCs w:val="28"/>
        </w:rPr>
      </w:pPr>
      <w:r>
        <w:rPr>
          <w:noProof/>
          <w:lang w:eastAsia="ru-RU"/>
        </w:rPr>
        <mc:AlternateContent>
          <mc:Choice Requires="wps">
            <w:drawing>
              <wp:anchor distT="0" distB="0" distL="114300" distR="114300" simplePos="0" relativeHeight="251702272" behindDoc="0" locked="0" layoutInCell="1" allowOverlap="1" wp14:anchorId="14AF401C" wp14:editId="223B31DD">
                <wp:simplePos x="0" y="0"/>
                <wp:positionH relativeFrom="column">
                  <wp:posOffset>69850</wp:posOffset>
                </wp:positionH>
                <wp:positionV relativeFrom="paragraph">
                  <wp:posOffset>211455</wp:posOffset>
                </wp:positionV>
                <wp:extent cx="5940425" cy="409575"/>
                <wp:effectExtent l="0" t="0" r="3175" b="0"/>
                <wp:wrapTight wrapText="bothSides">
                  <wp:wrapPolygon edited="0">
                    <wp:start x="0" y="0"/>
                    <wp:lineTo x="0" y="20618"/>
                    <wp:lineTo x="21542" y="20618"/>
                    <wp:lineTo x="21542" y="0"/>
                    <wp:lineTo x="0" y="0"/>
                  </wp:wrapPolygon>
                </wp:wrapTight>
                <wp:docPr id="1063" name="Поле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Default="00DA0396" w:rsidP="000A78EF">
                            <w:pPr>
                              <w:pStyle w:val="aa"/>
                              <w:jc w:val="right"/>
                              <w:rPr>
                                <w:rFonts w:ascii="Times New Roman" w:hAnsi="Times New Roman"/>
                                <w:noProof/>
                                <w:color w:val="auto"/>
                                <w:sz w:val="20"/>
                                <w:szCs w:val="20"/>
                                <w:lang w:val="en-US"/>
                              </w:rPr>
                            </w:pPr>
                            <w:r>
                              <w:rPr>
                                <w:rFonts w:ascii="Times New Roman" w:hAnsi="Times New Roman"/>
                                <w:color w:val="auto"/>
                                <w:sz w:val="20"/>
                                <w:szCs w:val="20"/>
                              </w:rPr>
                              <w:t>Источник</w:t>
                            </w:r>
                            <w:r>
                              <w:rPr>
                                <w:rFonts w:ascii="Times New Roman" w:hAnsi="Times New Roman"/>
                                <w:color w:val="auto"/>
                                <w:sz w:val="20"/>
                                <w:szCs w:val="20"/>
                                <w:lang w:val="en-US"/>
                              </w:rPr>
                              <w:t xml:space="preserve">: Caner </w:t>
                            </w:r>
                            <w:proofErr w:type="spellStart"/>
                            <w:r>
                              <w:rPr>
                                <w:rFonts w:ascii="Times New Roman" w:hAnsi="Times New Roman"/>
                                <w:color w:val="auto"/>
                                <w:sz w:val="20"/>
                                <w:szCs w:val="20"/>
                                <w:lang w:val="en-US"/>
                              </w:rPr>
                              <w:t>Bakir</w:t>
                            </w:r>
                            <w:proofErr w:type="spellEnd"/>
                            <w:r>
                              <w:rPr>
                                <w:rFonts w:ascii="Times New Roman" w:hAnsi="Times New Roman"/>
                                <w:color w:val="auto"/>
                                <w:sz w:val="20"/>
                                <w:szCs w:val="20"/>
                                <w:lang w:val="en-US"/>
                              </w:rPr>
                              <w:t>, «The governance of financial regulatory reform: the Australian experience», 2009, p. 915.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063" o:spid="_x0000_s1053" type="#_x0000_t202" style="position:absolute;margin-left:5.5pt;margin-top:16.65pt;width:467.75pt;height:3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" stroked="f">
                <v:textbox style="mso-fit-shape-to-text:t" inset="0,0,0,0">
                  <w:txbxContent>
                    <w:p w:rsidR="00DA0396" w:rsidRDefault="00DA0396" w:rsidP="000A78EF">
                      <w:pPr>
                        <w:pStyle w:val="aa"/>
                        <w:jc w:val="right"/>
                        <w:rPr>
                          <w:rFonts w:ascii="Times New Roman" w:hAnsi="Times New Roman"/>
                          <w:noProof/>
                          <w:color w:val="auto"/>
                          <w:sz w:val="20"/>
                          <w:szCs w:val="20"/>
                          <w:lang w:val="en-US"/>
                        </w:rPr>
                      </w:pPr>
                      <w:r>
                        <w:rPr>
                          <w:rFonts w:ascii="Times New Roman" w:hAnsi="Times New Roman"/>
                          <w:color w:val="auto"/>
                          <w:sz w:val="20"/>
                          <w:szCs w:val="20"/>
                        </w:rPr>
                        <w:t>Источник</w:t>
                      </w:r>
                      <w:r>
                        <w:rPr>
                          <w:rFonts w:ascii="Times New Roman" w:hAnsi="Times New Roman"/>
                          <w:color w:val="auto"/>
                          <w:sz w:val="20"/>
                          <w:szCs w:val="20"/>
                          <w:lang w:val="en-US"/>
                        </w:rPr>
                        <w:t xml:space="preserve">: Caner </w:t>
                      </w:r>
                      <w:proofErr w:type="spellStart"/>
                      <w:r>
                        <w:rPr>
                          <w:rFonts w:ascii="Times New Roman" w:hAnsi="Times New Roman"/>
                          <w:color w:val="auto"/>
                          <w:sz w:val="20"/>
                          <w:szCs w:val="20"/>
                          <w:lang w:val="en-US"/>
                        </w:rPr>
                        <w:t>Bakir</w:t>
                      </w:r>
                      <w:proofErr w:type="spellEnd"/>
                      <w:r>
                        <w:rPr>
                          <w:rFonts w:ascii="Times New Roman" w:hAnsi="Times New Roman"/>
                          <w:color w:val="auto"/>
                          <w:sz w:val="20"/>
                          <w:szCs w:val="20"/>
                          <w:lang w:val="en-US"/>
                        </w:rPr>
                        <w:t>, «The governance of financial regulatory reform: the Australian experience», 2009, p. 915.</w:t>
                      </w:r>
                    </w:p>
                  </w:txbxContent>
                </v:textbox>
                <w10:wrap type="tight"/>
              </v:shape>
            </w:pict>
          </mc:Fallback>
        </mc:AlternateContent>
      </w:r>
    </w:p>
    <w:p w:rsidR="000A78EF" w:rsidRDefault="000A78EF" w:rsidP="000A78EF">
      <w:pPr>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706368" behindDoc="0" locked="0" layoutInCell="1" allowOverlap="1" wp14:anchorId="53F4ADE5" wp14:editId="6CC01663">
                <wp:simplePos x="0" y="0"/>
                <wp:positionH relativeFrom="column">
                  <wp:posOffset>810260</wp:posOffset>
                </wp:positionH>
                <wp:positionV relativeFrom="paragraph">
                  <wp:posOffset>3653790</wp:posOffset>
                </wp:positionV>
                <wp:extent cx="4024630" cy="361950"/>
                <wp:effectExtent l="0" t="0" r="0" b="0"/>
                <wp:wrapTight wrapText="bothSides">
                  <wp:wrapPolygon edited="0">
                    <wp:start x="0" y="0"/>
                    <wp:lineTo x="0" y="20463"/>
                    <wp:lineTo x="21470" y="20463"/>
                    <wp:lineTo x="21470" y="0"/>
                    <wp:lineTo x="0" y="0"/>
                  </wp:wrapPolygon>
                </wp:wrapTight>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1A44A1" w:rsidRDefault="00DA0396" w:rsidP="000A78EF">
                            <w:pPr>
                              <w:pStyle w:val="aa"/>
                              <w:jc w:val="center"/>
                              <w:rPr>
                                <w:rFonts w:ascii="Times New Roman" w:hAnsi="Times New Roman"/>
                                <w:noProof/>
                                <w:color w:val="000000" w:themeColor="text1"/>
                                <w:sz w:val="24"/>
                                <w:szCs w:val="24"/>
                              </w:rPr>
                            </w:pPr>
                            <w:r>
                              <w:rPr>
                                <w:rFonts w:ascii="Times New Roman" w:hAnsi="Times New Roman"/>
                                <w:color w:val="000000" w:themeColor="text1"/>
                                <w:sz w:val="24"/>
                                <w:szCs w:val="24"/>
                              </w:rPr>
                              <w:t>Таблица 4: Результаты оценки</w:t>
                            </w:r>
                            <w:r w:rsidRPr="001A44A1">
                              <w:rPr>
                                <w:rFonts w:ascii="Times New Roman" w:hAnsi="Times New Roman"/>
                                <w:color w:val="000000" w:themeColor="text1"/>
                                <w:sz w:val="24"/>
                                <w:szCs w:val="24"/>
                              </w:rPr>
                              <w:t xml:space="preserve"> энтропии по Шеннону для 11 лет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54" type="#_x0000_t202" style="position:absolute;margin-left:63.8pt;margin-top:287.7pt;width:316.9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" stroked="f">
                <v:textbox inset="0,0,0,0">
                  <w:txbxContent>
                    <w:p w:rsidR="00DA0396" w:rsidRPr="001A44A1" w:rsidRDefault="00DA0396" w:rsidP="000A78EF">
                      <w:pPr>
                        <w:pStyle w:val="aa"/>
                        <w:jc w:val="center"/>
                        <w:rPr>
                          <w:rFonts w:ascii="Times New Roman" w:hAnsi="Times New Roman"/>
                          <w:noProof/>
                          <w:color w:val="000000" w:themeColor="text1"/>
                          <w:sz w:val="24"/>
                          <w:szCs w:val="24"/>
                        </w:rPr>
                      </w:pPr>
                      <w:r>
                        <w:rPr>
                          <w:rFonts w:ascii="Times New Roman" w:hAnsi="Times New Roman"/>
                          <w:color w:val="000000" w:themeColor="text1"/>
                          <w:sz w:val="24"/>
                          <w:szCs w:val="24"/>
                        </w:rPr>
                        <w:t>Таблица 4: Результаты оценки</w:t>
                      </w:r>
                      <w:r w:rsidRPr="001A44A1">
                        <w:rPr>
                          <w:rFonts w:ascii="Times New Roman" w:hAnsi="Times New Roman"/>
                          <w:color w:val="000000" w:themeColor="text1"/>
                          <w:sz w:val="24"/>
                          <w:szCs w:val="24"/>
                        </w:rPr>
                        <w:t xml:space="preserve"> энтропии по Шеннону для 11 лет</w:t>
                      </w:r>
                    </w:p>
                  </w:txbxContent>
                </v:textbox>
                <w10:wrap type="tight"/>
              </v:shape>
            </w:pict>
          </mc:Fallback>
        </mc:AlternateContent>
      </w:r>
      <w:r w:rsidRPr="003965E8">
        <w:rPr>
          <w:rFonts w:ascii="Calibri" w:eastAsia="Calibri" w:hAnsi="Calibri" w:cs="Times New Roman"/>
          <w:noProof/>
          <w:lang w:eastAsia="ru-RU"/>
        </w:rPr>
        <w:drawing>
          <wp:anchor distT="0" distB="0" distL="114300" distR="114300" simplePos="0" relativeHeight="251707392" behindDoc="1" locked="0" layoutInCell="1" allowOverlap="1" wp14:anchorId="2027B8E5" wp14:editId="2EECF672">
            <wp:simplePos x="0" y="0"/>
            <wp:positionH relativeFrom="column">
              <wp:posOffset>917575</wp:posOffset>
            </wp:positionH>
            <wp:positionV relativeFrom="paragraph">
              <wp:posOffset>4232910</wp:posOffset>
            </wp:positionV>
            <wp:extent cx="3876675" cy="4581525"/>
            <wp:effectExtent l="0" t="0" r="9525" b="9525"/>
            <wp:wrapTight wrapText="bothSides">
              <wp:wrapPolygon edited="0">
                <wp:start x="0" y="0"/>
                <wp:lineTo x="0" y="21555"/>
                <wp:lineTo x="21547" y="21555"/>
                <wp:lineTo x="21547" y="0"/>
                <wp:lineTo x="0" y="0"/>
              </wp:wrapPolygon>
            </wp:wrapTight>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6675" cy="458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704320" behindDoc="0" locked="0" layoutInCell="1" allowOverlap="1" wp14:anchorId="53B7314E" wp14:editId="35EB5886">
            <wp:simplePos x="0" y="0"/>
            <wp:positionH relativeFrom="column">
              <wp:posOffset>-361950</wp:posOffset>
            </wp:positionH>
            <wp:positionV relativeFrom="paragraph">
              <wp:posOffset>367665</wp:posOffset>
            </wp:positionV>
            <wp:extent cx="6305550" cy="2265045"/>
            <wp:effectExtent l="0" t="0" r="0" b="1905"/>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5550" cy="22650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705344" behindDoc="0" locked="0" layoutInCell="1" allowOverlap="1" wp14:anchorId="20AFE8B2" wp14:editId="177EAA3E">
                <wp:simplePos x="0" y="0"/>
                <wp:positionH relativeFrom="column">
                  <wp:posOffset>-167640</wp:posOffset>
                </wp:positionH>
                <wp:positionV relativeFrom="paragraph">
                  <wp:posOffset>2776855</wp:posOffset>
                </wp:positionV>
                <wp:extent cx="5940425" cy="409575"/>
                <wp:effectExtent l="0" t="0" r="3175" b="0"/>
                <wp:wrapTight wrapText="bothSides">
                  <wp:wrapPolygon edited="0">
                    <wp:start x="0" y="0"/>
                    <wp:lineTo x="0" y="20618"/>
                    <wp:lineTo x="21542" y="20618"/>
                    <wp:lineTo x="21542" y="0"/>
                    <wp:lineTo x="0" y="0"/>
                  </wp:wrapPolygon>
                </wp:wrapTight>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Default="00DA0396" w:rsidP="000A78EF">
                            <w:pPr>
                              <w:pStyle w:val="aa"/>
                              <w:jc w:val="right"/>
                              <w:rPr>
                                <w:rFonts w:ascii="Times New Roman" w:hAnsi="Times New Roman"/>
                                <w:noProof/>
                                <w:color w:val="auto"/>
                                <w:sz w:val="20"/>
                                <w:szCs w:val="20"/>
                                <w:lang w:val="en-US"/>
                              </w:rPr>
                            </w:pPr>
                            <w:r>
                              <w:rPr>
                                <w:rFonts w:ascii="Times New Roman" w:hAnsi="Times New Roman"/>
                                <w:color w:val="auto"/>
                                <w:sz w:val="20"/>
                                <w:szCs w:val="20"/>
                              </w:rPr>
                              <w:t>Источник</w:t>
                            </w:r>
                            <w:r>
                              <w:rPr>
                                <w:rFonts w:ascii="Times New Roman" w:hAnsi="Times New Roman"/>
                                <w:color w:val="auto"/>
                                <w:sz w:val="20"/>
                                <w:szCs w:val="20"/>
                                <w:lang w:val="en-US"/>
                              </w:rPr>
                              <w:t xml:space="preserve">: </w:t>
                            </w:r>
                            <w:proofErr w:type="gramStart"/>
                            <w:r>
                              <w:rPr>
                                <w:rFonts w:ascii="Times New Roman" w:hAnsi="Times New Roman"/>
                                <w:color w:val="auto"/>
                                <w:sz w:val="20"/>
                                <w:szCs w:val="20"/>
                                <w:lang w:val="en-US"/>
                              </w:rPr>
                              <w:t>Group of Thirty, «The structure of Financial Supervision.</w:t>
                            </w:r>
                            <w:proofErr w:type="gramEnd"/>
                            <w:r>
                              <w:rPr>
                                <w:rFonts w:ascii="Times New Roman" w:hAnsi="Times New Roman"/>
                                <w:color w:val="auto"/>
                                <w:sz w:val="20"/>
                                <w:szCs w:val="20"/>
                                <w:lang w:val="en-US"/>
                              </w:rPr>
                              <w:t xml:space="preserve"> Approaches and Challenges in a Global Marketplace», 2008, p. 1</w:t>
                            </w:r>
                            <w:r>
                              <w:rPr>
                                <w:rFonts w:ascii="Times New Roman" w:hAnsi="Times New Roman"/>
                                <w:color w:val="auto"/>
                                <w:sz w:val="20"/>
                                <w:szCs w:val="20"/>
                              </w:rPr>
                              <w:t>9</w:t>
                            </w:r>
                            <w:r>
                              <w:rPr>
                                <w:rFonts w:ascii="Times New Roman" w:hAnsi="Times New Roman"/>
                                <w:color w:val="auto"/>
                                <w:sz w:val="20"/>
                                <w:szCs w:val="20"/>
                                <w:lang w:val="en-US"/>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8" o:spid="_x0000_s1055" type="#_x0000_t202" style="position:absolute;margin-left:-13.2pt;margin-top:218.65pt;width:467.75pt;height:3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" stroked="f">
                <v:textbox style="mso-fit-shape-to-text:t" inset="0,0,0,0">
                  <w:txbxContent>
                    <w:p w:rsidR="00DA0396" w:rsidRDefault="00DA0396" w:rsidP="000A78EF">
                      <w:pPr>
                        <w:pStyle w:val="aa"/>
                        <w:jc w:val="right"/>
                        <w:rPr>
                          <w:rFonts w:ascii="Times New Roman" w:hAnsi="Times New Roman"/>
                          <w:noProof/>
                          <w:color w:val="auto"/>
                          <w:sz w:val="20"/>
                          <w:szCs w:val="20"/>
                          <w:lang w:val="en-US"/>
                        </w:rPr>
                      </w:pPr>
                      <w:r>
                        <w:rPr>
                          <w:rFonts w:ascii="Times New Roman" w:hAnsi="Times New Roman"/>
                          <w:color w:val="auto"/>
                          <w:sz w:val="20"/>
                          <w:szCs w:val="20"/>
                        </w:rPr>
                        <w:t>Источник</w:t>
                      </w:r>
                      <w:r>
                        <w:rPr>
                          <w:rFonts w:ascii="Times New Roman" w:hAnsi="Times New Roman"/>
                          <w:color w:val="auto"/>
                          <w:sz w:val="20"/>
                          <w:szCs w:val="20"/>
                          <w:lang w:val="en-US"/>
                        </w:rPr>
                        <w:t xml:space="preserve">: </w:t>
                      </w:r>
                      <w:proofErr w:type="gramStart"/>
                      <w:r>
                        <w:rPr>
                          <w:rFonts w:ascii="Times New Roman" w:hAnsi="Times New Roman"/>
                          <w:color w:val="auto"/>
                          <w:sz w:val="20"/>
                          <w:szCs w:val="20"/>
                          <w:lang w:val="en-US"/>
                        </w:rPr>
                        <w:t>Group of Thirty, «The structure of Financial Supervision.</w:t>
                      </w:r>
                      <w:proofErr w:type="gramEnd"/>
                      <w:r>
                        <w:rPr>
                          <w:rFonts w:ascii="Times New Roman" w:hAnsi="Times New Roman"/>
                          <w:color w:val="auto"/>
                          <w:sz w:val="20"/>
                          <w:szCs w:val="20"/>
                          <w:lang w:val="en-US"/>
                        </w:rPr>
                        <w:t xml:space="preserve"> Approaches and Challenges in a Global Marketplace», 2008, p. 1</w:t>
                      </w:r>
                      <w:r>
                        <w:rPr>
                          <w:rFonts w:ascii="Times New Roman" w:hAnsi="Times New Roman"/>
                          <w:color w:val="auto"/>
                          <w:sz w:val="20"/>
                          <w:szCs w:val="20"/>
                        </w:rPr>
                        <w:t>9</w:t>
                      </w:r>
                      <w:r>
                        <w:rPr>
                          <w:rFonts w:ascii="Times New Roman" w:hAnsi="Times New Roman"/>
                          <w:color w:val="auto"/>
                          <w:sz w:val="20"/>
                          <w:szCs w:val="20"/>
                          <w:lang w:val="en-US"/>
                        </w:rPr>
                        <w:t>3.</w:t>
                      </w:r>
                    </w:p>
                  </w:txbxContent>
                </v:textbox>
                <w10:wrap type="tight"/>
              </v:shape>
            </w:pict>
          </mc:Fallback>
        </mc:AlternateContent>
      </w:r>
      <w:r>
        <w:rPr>
          <w:noProof/>
          <w:lang w:eastAsia="ru-RU"/>
        </w:rPr>
        <mc:AlternateContent>
          <mc:Choice Requires="wps">
            <w:drawing>
              <wp:anchor distT="0" distB="0" distL="114300" distR="114300" simplePos="0" relativeHeight="251703296" behindDoc="0" locked="0" layoutInCell="1" allowOverlap="1" wp14:anchorId="7155BB20" wp14:editId="00F8BA15">
                <wp:simplePos x="0" y="0"/>
                <wp:positionH relativeFrom="column">
                  <wp:posOffset>-161925</wp:posOffset>
                </wp:positionH>
                <wp:positionV relativeFrom="paragraph">
                  <wp:posOffset>119380</wp:posOffset>
                </wp:positionV>
                <wp:extent cx="5940425" cy="228600"/>
                <wp:effectExtent l="0" t="0" r="3175" b="0"/>
                <wp:wrapTight wrapText="bothSides">
                  <wp:wrapPolygon edited="0">
                    <wp:start x="0" y="0"/>
                    <wp:lineTo x="0" y="19800"/>
                    <wp:lineTo x="21542" y="19800"/>
                    <wp:lineTo x="21542" y="0"/>
                    <wp:lineTo x="0" y="0"/>
                  </wp:wrapPolygon>
                </wp:wrapTight>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Default="00DA0396" w:rsidP="000A78EF">
                            <w:pPr>
                              <w:pStyle w:val="aa"/>
                              <w:jc w:val="center"/>
                              <w:rPr>
                                <w:rFonts w:ascii="Times New Roman" w:hAnsi="Times New Roman"/>
                                <w:color w:val="auto"/>
                                <w:sz w:val="24"/>
                                <w:szCs w:val="24"/>
                              </w:rPr>
                            </w:pPr>
                            <w:r>
                              <w:rPr>
                                <w:rFonts w:ascii="Times New Roman" w:hAnsi="Times New Roman"/>
                                <w:color w:val="auto"/>
                                <w:sz w:val="24"/>
                                <w:szCs w:val="24"/>
                              </w:rPr>
                              <w:t>Схема 3: Структура финансового регулирования Австралии</w:t>
                            </w:r>
                          </w:p>
                          <w:p w:rsidR="00DA0396" w:rsidRDefault="00DA0396" w:rsidP="000A78E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56" type="#_x0000_t202" style="position:absolute;margin-left:-12.75pt;margin-top:9.4pt;width:467.7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" stroked="f">
                <v:textbox inset="0,0,0,0">
                  <w:txbxContent>
                    <w:p w:rsidR="00DA0396" w:rsidRDefault="00DA0396" w:rsidP="000A78EF">
                      <w:pPr>
                        <w:pStyle w:val="aa"/>
                        <w:jc w:val="center"/>
                        <w:rPr>
                          <w:rFonts w:ascii="Times New Roman" w:hAnsi="Times New Roman"/>
                          <w:color w:val="auto"/>
                          <w:sz w:val="24"/>
                          <w:szCs w:val="24"/>
                        </w:rPr>
                      </w:pPr>
                      <w:r>
                        <w:rPr>
                          <w:rFonts w:ascii="Times New Roman" w:hAnsi="Times New Roman"/>
                          <w:color w:val="auto"/>
                          <w:sz w:val="24"/>
                          <w:szCs w:val="24"/>
                        </w:rPr>
                        <w:t>Схема 3: Структура финансового регулирования Австралии</w:t>
                      </w:r>
                    </w:p>
                    <w:p w:rsidR="00DA0396" w:rsidRDefault="00DA0396" w:rsidP="000A78EF"/>
                  </w:txbxContent>
                </v:textbox>
                <w10:wrap type="tight"/>
              </v:shape>
            </w:pict>
          </mc:Fallback>
        </mc:AlternateContent>
      </w: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61076A0E" wp14:editId="747C7E4A">
                <wp:simplePos x="0" y="0"/>
                <wp:positionH relativeFrom="column">
                  <wp:posOffset>846455</wp:posOffset>
                </wp:positionH>
                <wp:positionV relativeFrom="paragraph">
                  <wp:posOffset>109855</wp:posOffset>
                </wp:positionV>
                <wp:extent cx="3876675" cy="190500"/>
                <wp:effectExtent l="0" t="0" r="9525" b="0"/>
                <wp:wrapTight wrapText="bothSides">
                  <wp:wrapPolygon edited="0">
                    <wp:start x="0" y="0"/>
                    <wp:lineTo x="0" y="19440"/>
                    <wp:lineTo x="21547" y="19440"/>
                    <wp:lineTo x="21547" y="0"/>
                    <wp:lineTo x="0" y="0"/>
                  </wp:wrapPolygon>
                </wp:wrapTight>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1A44A1" w:rsidRDefault="00DA0396" w:rsidP="000A78EF">
                            <w:pPr>
                              <w:pStyle w:val="aa"/>
                              <w:jc w:val="right"/>
                              <w:rPr>
                                <w:rFonts w:ascii="Times New Roman" w:hAnsi="Times New Roman"/>
                                <w:noProof/>
                                <w:color w:val="000000" w:themeColor="text1"/>
                                <w:sz w:val="20"/>
                                <w:szCs w:val="20"/>
                              </w:rPr>
                            </w:pPr>
                            <w:r>
                              <w:rPr>
                                <w:rFonts w:ascii="Times New Roman" w:hAnsi="Times New Roman"/>
                                <w:color w:val="000000" w:themeColor="text1"/>
                                <w:sz w:val="20"/>
                                <w:szCs w:val="20"/>
                              </w:rPr>
                              <w:t xml:space="preserve">Источник: собственные расчеты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57" type="#_x0000_t202" style="position:absolute;margin-left:66.65pt;margin-top:8.65pt;width:305.25pt;height: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" stroked="f">
                <v:textbox inset="0,0,0,0">
                  <w:txbxContent>
                    <w:p w:rsidR="00DA0396" w:rsidRPr="001A44A1" w:rsidRDefault="00DA0396" w:rsidP="000A78EF">
                      <w:pPr>
                        <w:pStyle w:val="aa"/>
                        <w:jc w:val="right"/>
                        <w:rPr>
                          <w:rFonts w:ascii="Times New Roman" w:hAnsi="Times New Roman"/>
                          <w:noProof/>
                          <w:color w:val="000000" w:themeColor="text1"/>
                          <w:sz w:val="20"/>
                          <w:szCs w:val="20"/>
                        </w:rPr>
                      </w:pPr>
                      <w:r>
                        <w:rPr>
                          <w:rFonts w:ascii="Times New Roman" w:hAnsi="Times New Roman"/>
                          <w:color w:val="000000" w:themeColor="text1"/>
                          <w:sz w:val="20"/>
                          <w:szCs w:val="20"/>
                        </w:rPr>
                        <w:t xml:space="preserve">Источник: собственные расчеты </w:t>
                      </w:r>
                    </w:p>
                  </w:txbxContent>
                </v:textbox>
                <w10:wrap type="tight"/>
              </v:shape>
            </w:pict>
          </mc:Fallback>
        </mc:AlternateContent>
      </w:r>
      <w:r>
        <w:rPr>
          <w:rFonts w:ascii="Times New Roman" w:hAnsi="Times New Roman" w:cs="Times New Roman"/>
          <w:sz w:val="28"/>
          <w:szCs w:val="28"/>
        </w:rPr>
        <w:br w:type="page"/>
      </w:r>
    </w:p>
    <w:p w:rsidR="000A78EF" w:rsidRDefault="000A78EF" w:rsidP="000A78EF">
      <w:pPr>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709440" behindDoc="0" locked="0" layoutInCell="1" allowOverlap="1" wp14:anchorId="6705D511" wp14:editId="65CBD480">
                <wp:simplePos x="0" y="0"/>
                <wp:positionH relativeFrom="column">
                  <wp:posOffset>516255</wp:posOffset>
                </wp:positionH>
                <wp:positionV relativeFrom="paragraph">
                  <wp:posOffset>100965</wp:posOffset>
                </wp:positionV>
                <wp:extent cx="4467225" cy="409575"/>
                <wp:effectExtent l="0" t="0" r="9525" b="9525"/>
                <wp:wrapTight wrapText="bothSides">
                  <wp:wrapPolygon edited="0">
                    <wp:start x="0" y="0"/>
                    <wp:lineTo x="0" y="21098"/>
                    <wp:lineTo x="21554" y="21098"/>
                    <wp:lineTo x="21554" y="0"/>
                    <wp:lineTo x="0" y="0"/>
                  </wp:wrapPolygon>
                </wp:wrapTight>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CB58BA" w:rsidRDefault="00DA0396" w:rsidP="000A78EF">
                            <w:pPr>
                              <w:pStyle w:val="aa"/>
                              <w:jc w:val="center"/>
                              <w:rPr>
                                <w:rFonts w:ascii="Times New Roman" w:hAnsi="Times New Roman"/>
                                <w:noProof/>
                                <w:color w:val="000000" w:themeColor="text1"/>
                                <w:sz w:val="24"/>
                                <w:szCs w:val="24"/>
                              </w:rPr>
                            </w:pPr>
                            <w:r w:rsidRPr="00CB58BA">
                              <w:rPr>
                                <w:rFonts w:ascii="Times New Roman" w:hAnsi="Times New Roman"/>
                                <w:color w:val="000000" w:themeColor="text1"/>
                                <w:sz w:val="24"/>
                                <w:szCs w:val="24"/>
                              </w:rPr>
                              <w:t>График</w:t>
                            </w:r>
                            <w:r>
                              <w:rPr>
                                <w:rFonts w:ascii="Times New Roman" w:hAnsi="Times New Roman"/>
                                <w:color w:val="000000" w:themeColor="text1"/>
                                <w:sz w:val="24"/>
                                <w:szCs w:val="24"/>
                              </w:rPr>
                              <w:t>и</w:t>
                            </w:r>
                            <w:r w:rsidRPr="00CB58BA">
                              <w:rPr>
                                <w:rFonts w:ascii="Times New Roman" w:hAnsi="Times New Roman"/>
                                <w:color w:val="000000" w:themeColor="text1"/>
                                <w:sz w:val="24"/>
                                <w:szCs w:val="24"/>
                              </w:rPr>
                              <w:t xml:space="preserve"> 5</w:t>
                            </w:r>
                            <w:r>
                              <w:rPr>
                                <w:rFonts w:ascii="Times New Roman" w:hAnsi="Times New Roman"/>
                                <w:color w:val="000000" w:themeColor="text1"/>
                                <w:sz w:val="24"/>
                                <w:szCs w:val="24"/>
                              </w:rPr>
                              <w:t xml:space="preserve"> и 6</w:t>
                            </w:r>
                            <w:r w:rsidRPr="00CB58BA">
                              <w:rPr>
                                <w:rFonts w:ascii="Times New Roman" w:hAnsi="Times New Roman"/>
                                <w:color w:val="000000" w:themeColor="text1"/>
                                <w:sz w:val="24"/>
                                <w:szCs w:val="24"/>
                              </w:rPr>
                              <w:t xml:space="preserve">: Энтропия по Шеннону для фондовых индексов Австралии и США в </w:t>
                            </w:r>
                            <w:r>
                              <w:rPr>
                                <w:rFonts w:ascii="Times New Roman" w:hAnsi="Times New Roman"/>
                                <w:color w:val="000000" w:themeColor="text1"/>
                                <w:sz w:val="24"/>
                                <w:szCs w:val="24"/>
                              </w:rPr>
                              <w:t>2004 и 2012 годах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58" type="#_x0000_t202" style="position:absolute;margin-left:40.65pt;margin-top:7.95pt;width:351.75pt;height:3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" stroked="f">
                <v:textbox inset="0,0,0,0">
                  <w:txbxContent>
                    <w:p w:rsidR="00DA0396" w:rsidRPr="00CB58BA" w:rsidRDefault="00DA0396" w:rsidP="000A78EF">
                      <w:pPr>
                        <w:pStyle w:val="aa"/>
                        <w:jc w:val="center"/>
                        <w:rPr>
                          <w:rFonts w:ascii="Times New Roman" w:hAnsi="Times New Roman"/>
                          <w:noProof/>
                          <w:color w:val="000000" w:themeColor="text1"/>
                          <w:sz w:val="24"/>
                          <w:szCs w:val="24"/>
                        </w:rPr>
                      </w:pPr>
                      <w:r w:rsidRPr="00CB58BA">
                        <w:rPr>
                          <w:rFonts w:ascii="Times New Roman" w:hAnsi="Times New Roman"/>
                          <w:color w:val="000000" w:themeColor="text1"/>
                          <w:sz w:val="24"/>
                          <w:szCs w:val="24"/>
                        </w:rPr>
                        <w:t>График</w:t>
                      </w:r>
                      <w:r>
                        <w:rPr>
                          <w:rFonts w:ascii="Times New Roman" w:hAnsi="Times New Roman"/>
                          <w:color w:val="000000" w:themeColor="text1"/>
                          <w:sz w:val="24"/>
                          <w:szCs w:val="24"/>
                        </w:rPr>
                        <w:t>и</w:t>
                      </w:r>
                      <w:r w:rsidRPr="00CB58BA">
                        <w:rPr>
                          <w:rFonts w:ascii="Times New Roman" w:hAnsi="Times New Roman"/>
                          <w:color w:val="000000" w:themeColor="text1"/>
                          <w:sz w:val="24"/>
                          <w:szCs w:val="24"/>
                        </w:rPr>
                        <w:t xml:space="preserve"> 5</w:t>
                      </w:r>
                      <w:r>
                        <w:rPr>
                          <w:rFonts w:ascii="Times New Roman" w:hAnsi="Times New Roman"/>
                          <w:color w:val="000000" w:themeColor="text1"/>
                          <w:sz w:val="24"/>
                          <w:szCs w:val="24"/>
                        </w:rPr>
                        <w:t xml:space="preserve"> и 6</w:t>
                      </w:r>
                      <w:r w:rsidRPr="00CB58BA">
                        <w:rPr>
                          <w:rFonts w:ascii="Times New Roman" w:hAnsi="Times New Roman"/>
                          <w:color w:val="000000" w:themeColor="text1"/>
                          <w:sz w:val="24"/>
                          <w:szCs w:val="24"/>
                        </w:rPr>
                        <w:t xml:space="preserve">: Энтропия по Шеннону для фондовых индексов Австралии и США в </w:t>
                      </w:r>
                      <w:r>
                        <w:rPr>
                          <w:rFonts w:ascii="Times New Roman" w:hAnsi="Times New Roman"/>
                          <w:color w:val="000000" w:themeColor="text1"/>
                          <w:sz w:val="24"/>
                          <w:szCs w:val="24"/>
                        </w:rPr>
                        <w:t>2004 и 2012 годах</w:t>
                      </w:r>
                    </w:p>
                  </w:txbxContent>
                </v:textbox>
                <w10:wrap type="tight"/>
              </v:shape>
            </w:pict>
          </mc:Fallback>
        </mc:AlternateContent>
      </w: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r w:rsidRPr="00E9084D">
        <w:rPr>
          <w:rFonts w:ascii="Times New Roman" w:hAnsi="Times New Roman" w:cs="Times New Roman"/>
          <w:noProof/>
          <w:sz w:val="28"/>
          <w:szCs w:val="28"/>
          <w:lang w:eastAsia="ru-RU"/>
        </w:rPr>
        <w:drawing>
          <wp:anchor distT="0" distB="0" distL="114300" distR="114300" simplePos="0" relativeHeight="251710464" behindDoc="0" locked="0" layoutInCell="1" allowOverlap="1" wp14:anchorId="57A41ED8" wp14:editId="4E403755">
            <wp:simplePos x="0" y="0"/>
            <wp:positionH relativeFrom="column">
              <wp:posOffset>829310</wp:posOffset>
            </wp:positionH>
            <wp:positionV relativeFrom="paragraph">
              <wp:posOffset>348615</wp:posOffset>
            </wp:positionV>
            <wp:extent cx="3933825" cy="2364105"/>
            <wp:effectExtent l="0" t="0" r="9525"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3825" cy="2364105"/>
                    </a:xfrm>
                    <a:prstGeom prst="rect">
                      <a:avLst/>
                    </a:prstGeom>
                    <a:noFill/>
                  </pic:spPr>
                </pic:pic>
              </a:graphicData>
            </a:graphic>
            <wp14:sizeRelH relativeFrom="page">
              <wp14:pctWidth>0</wp14:pctWidth>
            </wp14:sizeRelH>
            <wp14:sizeRelV relativeFrom="page">
              <wp14:pctHeight>0</wp14:pctHeight>
            </wp14:sizeRelV>
          </wp:anchor>
        </w:drawing>
      </w: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r w:rsidRPr="00E9084D">
        <w:rPr>
          <w:rFonts w:ascii="Times New Roman" w:hAnsi="Times New Roman" w:cs="Times New Roman"/>
          <w:noProof/>
          <w:sz w:val="28"/>
          <w:szCs w:val="28"/>
          <w:lang w:eastAsia="ru-RU"/>
        </w:rPr>
        <w:drawing>
          <wp:anchor distT="0" distB="0" distL="114300" distR="114300" simplePos="0" relativeHeight="251711488" behindDoc="0" locked="0" layoutInCell="1" allowOverlap="1" wp14:anchorId="1097A32E" wp14:editId="245BD362">
            <wp:simplePos x="0" y="0"/>
            <wp:positionH relativeFrom="column">
              <wp:posOffset>819785</wp:posOffset>
            </wp:positionH>
            <wp:positionV relativeFrom="paragraph">
              <wp:posOffset>175260</wp:posOffset>
            </wp:positionV>
            <wp:extent cx="3940810" cy="2362835"/>
            <wp:effectExtent l="0" t="0" r="254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0810" cy="2362835"/>
                    </a:xfrm>
                    <a:prstGeom prst="rect">
                      <a:avLst/>
                    </a:prstGeom>
                    <a:noFill/>
                  </pic:spPr>
                </pic:pic>
              </a:graphicData>
            </a:graphic>
            <wp14:sizeRelH relativeFrom="page">
              <wp14:pctWidth>0</wp14:pctWidth>
            </wp14:sizeRelH>
            <wp14:sizeRelV relativeFrom="page">
              <wp14:pctHeight>0</wp14:pctHeight>
            </wp14:sizeRelV>
          </wp:anchor>
        </w:drawing>
      </w: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14:anchorId="71C92EDD" wp14:editId="4E17D370">
                <wp:simplePos x="0" y="0"/>
                <wp:positionH relativeFrom="column">
                  <wp:posOffset>723900</wp:posOffset>
                </wp:positionH>
                <wp:positionV relativeFrom="paragraph">
                  <wp:posOffset>442595</wp:posOffset>
                </wp:positionV>
                <wp:extent cx="4024630" cy="273050"/>
                <wp:effectExtent l="0" t="0" r="0" b="0"/>
                <wp:wrapTopAndBottom/>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667B64" w:rsidRDefault="00DA0396" w:rsidP="000A78EF">
                            <w:pPr>
                              <w:pStyle w:val="aa"/>
                              <w:jc w:val="right"/>
                              <w:rPr>
                                <w:rFonts w:ascii="Times New Roman" w:hAnsi="Times New Roman"/>
                                <w:noProof/>
                                <w:color w:val="000000" w:themeColor="text1"/>
                                <w:sz w:val="20"/>
                                <w:szCs w:val="20"/>
                              </w:rPr>
                            </w:pPr>
                            <w:r>
                              <w:rPr>
                                <w:rFonts w:ascii="Times New Roman" w:hAnsi="Times New Roman"/>
                                <w:color w:val="000000" w:themeColor="text1"/>
                                <w:sz w:val="20"/>
                                <w:szCs w:val="20"/>
                              </w:rPr>
                              <w:t xml:space="preserve">Источник: собственные расчеты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31" o:spid="_x0000_s1059" type="#_x0000_t202" style="position:absolute;margin-left:57pt;margin-top:34.85pt;width:316.9pt;height:2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" stroked="f">
                <v:textbox style="mso-fit-shape-to-text:t" inset="0,0,0,0">
                  <w:txbxContent>
                    <w:p w:rsidR="00DA0396" w:rsidRPr="00667B64" w:rsidRDefault="00DA0396" w:rsidP="000A78EF">
                      <w:pPr>
                        <w:pStyle w:val="aa"/>
                        <w:jc w:val="right"/>
                        <w:rPr>
                          <w:rFonts w:ascii="Times New Roman" w:hAnsi="Times New Roman"/>
                          <w:noProof/>
                          <w:color w:val="000000" w:themeColor="text1"/>
                          <w:sz w:val="20"/>
                          <w:szCs w:val="20"/>
                        </w:rPr>
                      </w:pPr>
                      <w:r>
                        <w:rPr>
                          <w:rFonts w:ascii="Times New Roman" w:hAnsi="Times New Roman"/>
                          <w:color w:val="000000" w:themeColor="text1"/>
                          <w:sz w:val="20"/>
                          <w:szCs w:val="20"/>
                        </w:rPr>
                        <w:t xml:space="preserve">Источник: собственные расчеты </w:t>
                      </w:r>
                    </w:p>
                  </w:txbxContent>
                </v:textbox>
                <w10:wrap type="topAndBottom"/>
              </v:shape>
            </w:pict>
          </mc:Fallback>
        </mc:AlternateContent>
      </w: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r>
        <w:rPr>
          <w:noProof/>
          <w:lang w:eastAsia="ru-RU"/>
        </w:rPr>
        <w:lastRenderedPageBreak/>
        <w:drawing>
          <wp:anchor distT="0" distB="0" distL="114300" distR="114300" simplePos="0" relativeHeight="251714560" behindDoc="1" locked="0" layoutInCell="1" allowOverlap="1" wp14:anchorId="031752F9" wp14:editId="30D6C16C">
            <wp:simplePos x="0" y="0"/>
            <wp:positionH relativeFrom="column">
              <wp:posOffset>728980</wp:posOffset>
            </wp:positionH>
            <wp:positionV relativeFrom="paragraph">
              <wp:posOffset>612140</wp:posOffset>
            </wp:positionV>
            <wp:extent cx="4333875" cy="4219575"/>
            <wp:effectExtent l="0" t="0" r="9525" b="9525"/>
            <wp:wrapTight wrapText="bothSides">
              <wp:wrapPolygon edited="0">
                <wp:start x="0" y="0"/>
                <wp:lineTo x="0" y="21551"/>
                <wp:lineTo x="21553" y="21551"/>
                <wp:lineTo x="21553" y="0"/>
                <wp:lineTo x="0" y="0"/>
              </wp:wrapPolygon>
            </wp:wrapTight>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3875" cy="4219575"/>
                    </a:xfrm>
                    <a:prstGeom prst="rect">
                      <a:avLst/>
                    </a:prstGeom>
                    <a:noFill/>
                    <a:ln w="1">
                      <a:noFill/>
                      <a:miter lim="800000"/>
                      <a:headEnd/>
                      <a:tailEnd type="none" w="med" len="med"/>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mc:AlternateContent>
          <mc:Choice Requires="wps">
            <w:drawing>
              <wp:anchor distT="0" distB="0" distL="114300" distR="114300" simplePos="0" relativeHeight="251713536" behindDoc="0" locked="0" layoutInCell="1" allowOverlap="1" wp14:anchorId="39C71119" wp14:editId="24E7B3CA">
                <wp:simplePos x="0" y="0"/>
                <wp:positionH relativeFrom="column">
                  <wp:posOffset>685165</wp:posOffset>
                </wp:positionH>
                <wp:positionV relativeFrom="paragraph">
                  <wp:posOffset>156845</wp:posOffset>
                </wp:positionV>
                <wp:extent cx="4381500" cy="457200"/>
                <wp:effectExtent l="0" t="0" r="0" b="0"/>
                <wp:wrapTopAndBottom/>
                <wp:docPr id="1024" name="Поле 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EB4297" w:rsidRDefault="00DA0396" w:rsidP="000A78EF">
                            <w:pPr>
                              <w:pStyle w:val="aa"/>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Схема 7</w:t>
                            </w:r>
                            <w:r w:rsidRPr="00EB4297">
                              <w:rPr>
                                <w:rFonts w:ascii="Times New Roman" w:hAnsi="Times New Roman"/>
                                <w:noProof/>
                                <w:color w:val="000000" w:themeColor="text1"/>
                                <w:sz w:val="24"/>
                                <w:szCs w:val="24"/>
                              </w:rPr>
                              <w:t>: Обобщенный метод выявления предпочтений одного профучастника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24" o:spid="_x0000_s1060" type="#_x0000_t202" style="position:absolute;margin-left:53.95pt;margin-top:12.35pt;width:345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" stroked="f">
                <v:textbox inset="0,0,0,0">
                  <w:txbxContent>
                    <w:p w:rsidR="00DA0396" w:rsidRPr="00EB4297" w:rsidRDefault="00DA0396" w:rsidP="000A78EF">
                      <w:pPr>
                        <w:pStyle w:val="aa"/>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Схема 7</w:t>
                      </w:r>
                      <w:r w:rsidRPr="00EB4297">
                        <w:rPr>
                          <w:rFonts w:ascii="Times New Roman" w:hAnsi="Times New Roman"/>
                          <w:noProof/>
                          <w:color w:val="000000" w:themeColor="text1"/>
                          <w:sz w:val="24"/>
                          <w:szCs w:val="24"/>
                        </w:rPr>
                        <w:t>: Обобщенный метод выявления предпочтений одного профучастника</w:t>
                      </w:r>
                    </w:p>
                  </w:txbxContent>
                </v:textbox>
                <w10:wrap type="topAndBottom"/>
              </v:shape>
            </w:pict>
          </mc:Fallback>
        </mc:AlternateContent>
      </w: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14:anchorId="67E91FB3" wp14:editId="757215A1">
                <wp:simplePos x="0" y="0"/>
                <wp:positionH relativeFrom="column">
                  <wp:posOffset>707390</wp:posOffset>
                </wp:positionH>
                <wp:positionV relativeFrom="paragraph">
                  <wp:posOffset>717550</wp:posOffset>
                </wp:positionV>
                <wp:extent cx="4381500" cy="419100"/>
                <wp:effectExtent l="0" t="0" r="0" b="0"/>
                <wp:wrapTopAndBottom/>
                <wp:docPr id="1026" name="Поле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20327F" w:rsidRDefault="00DA0396" w:rsidP="000A78EF">
                            <w:pPr>
                              <w:pStyle w:val="aa"/>
                              <w:jc w:val="right"/>
                              <w:rPr>
                                <w:rFonts w:ascii="Times New Roman" w:hAnsi="Times New Roman"/>
                                <w:noProof/>
                                <w:color w:val="000000" w:themeColor="text1"/>
                                <w:sz w:val="20"/>
                                <w:szCs w:val="20"/>
                              </w:rPr>
                            </w:pPr>
                            <w:r w:rsidRPr="0020327F">
                              <w:rPr>
                                <w:rFonts w:ascii="Times New Roman" w:hAnsi="Times New Roman"/>
                                <w:color w:val="000000" w:themeColor="text1"/>
                                <w:sz w:val="20"/>
                                <w:szCs w:val="20"/>
                              </w:rPr>
                              <w:t>Источник:</w:t>
                            </w:r>
                            <w:r>
                              <w:rPr>
                                <w:rFonts w:ascii="Times New Roman" w:hAnsi="Times New Roman"/>
                                <w:color w:val="000000" w:themeColor="text1"/>
                                <w:sz w:val="20"/>
                                <w:szCs w:val="20"/>
                              </w:rPr>
                              <w:t xml:space="preserve"> </w:t>
                            </w:r>
                            <w:r w:rsidRPr="0020327F">
                              <w:rPr>
                                <w:rFonts w:ascii="Times New Roman" w:hAnsi="Times New Roman"/>
                                <w:color w:val="000000" w:themeColor="text1"/>
                                <w:sz w:val="20"/>
                                <w:szCs w:val="20"/>
                              </w:rPr>
                              <w:t>Ильин Е.В. Механизмы и пределы саморегулирования на финансовых рынках в раз</w:t>
                            </w:r>
                            <w:r>
                              <w:rPr>
                                <w:rFonts w:ascii="Times New Roman" w:hAnsi="Times New Roman"/>
                                <w:color w:val="000000" w:themeColor="text1"/>
                                <w:sz w:val="20"/>
                                <w:szCs w:val="20"/>
                              </w:rPr>
                              <w:t>витых странах мира. 2012. Стр. 70</w:t>
                            </w:r>
                            <w:r w:rsidRPr="0020327F">
                              <w:rPr>
                                <w:rFonts w:ascii="Times New Roman" w:hAnsi="Times New Roman"/>
                                <w:color w:val="000000" w:themeColor="text1"/>
                                <w:sz w:val="20"/>
                                <w:szCs w:val="2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026" o:spid="_x0000_s1061" type="#_x0000_t202" style="position:absolute;margin-left:55.7pt;margin-top:56.5pt;width:345pt;height:3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" stroked="f">
                <v:textbox style="mso-fit-shape-to-text:t" inset="0,0,0,0">
                  <w:txbxContent>
                    <w:p w:rsidR="00DA0396" w:rsidRPr="0020327F" w:rsidRDefault="00DA0396" w:rsidP="000A78EF">
                      <w:pPr>
                        <w:pStyle w:val="aa"/>
                        <w:jc w:val="right"/>
                        <w:rPr>
                          <w:rFonts w:ascii="Times New Roman" w:hAnsi="Times New Roman"/>
                          <w:noProof/>
                          <w:color w:val="000000" w:themeColor="text1"/>
                          <w:sz w:val="20"/>
                          <w:szCs w:val="20"/>
                        </w:rPr>
                      </w:pPr>
                      <w:r w:rsidRPr="0020327F">
                        <w:rPr>
                          <w:rFonts w:ascii="Times New Roman" w:hAnsi="Times New Roman"/>
                          <w:color w:val="000000" w:themeColor="text1"/>
                          <w:sz w:val="20"/>
                          <w:szCs w:val="20"/>
                        </w:rPr>
                        <w:t>Источник:</w:t>
                      </w:r>
                      <w:r>
                        <w:rPr>
                          <w:rFonts w:ascii="Times New Roman" w:hAnsi="Times New Roman"/>
                          <w:color w:val="000000" w:themeColor="text1"/>
                          <w:sz w:val="20"/>
                          <w:szCs w:val="20"/>
                        </w:rPr>
                        <w:t xml:space="preserve"> </w:t>
                      </w:r>
                      <w:r w:rsidRPr="0020327F">
                        <w:rPr>
                          <w:rFonts w:ascii="Times New Roman" w:hAnsi="Times New Roman"/>
                          <w:color w:val="000000" w:themeColor="text1"/>
                          <w:sz w:val="20"/>
                          <w:szCs w:val="20"/>
                        </w:rPr>
                        <w:t>Ильин Е.В. Механизмы и пределы саморегулирования на финансовых рынках в раз</w:t>
                      </w:r>
                      <w:r>
                        <w:rPr>
                          <w:rFonts w:ascii="Times New Roman" w:hAnsi="Times New Roman"/>
                          <w:color w:val="000000" w:themeColor="text1"/>
                          <w:sz w:val="20"/>
                          <w:szCs w:val="20"/>
                        </w:rPr>
                        <w:t>витых странах мира. 2012. Стр. 70</w:t>
                      </w:r>
                      <w:r w:rsidRPr="0020327F">
                        <w:rPr>
                          <w:rFonts w:ascii="Times New Roman" w:hAnsi="Times New Roman"/>
                          <w:color w:val="000000" w:themeColor="text1"/>
                          <w:sz w:val="20"/>
                          <w:szCs w:val="20"/>
                        </w:rPr>
                        <w:t>.</w:t>
                      </w:r>
                    </w:p>
                  </w:txbxContent>
                </v:textbox>
                <w10:wrap type="topAndBottom"/>
              </v:shape>
            </w:pict>
          </mc:Fallback>
        </mc:AlternateContent>
      </w:r>
    </w:p>
    <w:p w:rsidR="000A78EF" w:rsidRDefault="000A78EF" w:rsidP="000A78EF">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14:anchorId="34B4A824" wp14:editId="11A34113">
                <wp:simplePos x="0" y="0"/>
                <wp:positionH relativeFrom="column">
                  <wp:posOffset>956945</wp:posOffset>
                </wp:positionH>
                <wp:positionV relativeFrom="paragraph">
                  <wp:posOffset>992505</wp:posOffset>
                </wp:positionV>
                <wp:extent cx="4024630" cy="361950"/>
                <wp:effectExtent l="0" t="0" r="0" b="0"/>
                <wp:wrapTight wrapText="bothSides">
                  <wp:wrapPolygon edited="0">
                    <wp:start x="0" y="0"/>
                    <wp:lineTo x="0" y="20463"/>
                    <wp:lineTo x="21470" y="20463"/>
                    <wp:lineTo x="21470" y="0"/>
                    <wp:lineTo x="0" y="0"/>
                  </wp:wrapPolygon>
                </wp:wrapTight>
                <wp:docPr id="1027" name="Поле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1A44A1" w:rsidRDefault="00DA0396" w:rsidP="000A78EF">
                            <w:pPr>
                              <w:pStyle w:val="aa"/>
                              <w:jc w:val="center"/>
                              <w:rPr>
                                <w:rFonts w:ascii="Times New Roman" w:hAnsi="Times New Roman"/>
                                <w:noProof/>
                                <w:color w:val="000000" w:themeColor="text1"/>
                                <w:sz w:val="24"/>
                                <w:szCs w:val="24"/>
                              </w:rPr>
                            </w:pPr>
                            <w:r>
                              <w:rPr>
                                <w:rFonts w:ascii="Times New Roman" w:hAnsi="Times New Roman"/>
                                <w:color w:val="000000" w:themeColor="text1"/>
                                <w:sz w:val="24"/>
                                <w:szCs w:val="24"/>
                              </w:rPr>
                              <w:t>График 8</w:t>
                            </w:r>
                            <w:r w:rsidRPr="001A44A1">
                              <w:rPr>
                                <w:rFonts w:ascii="Times New Roman" w:hAnsi="Times New Roman"/>
                                <w:color w:val="000000" w:themeColor="text1"/>
                                <w:sz w:val="24"/>
                                <w:szCs w:val="24"/>
                              </w:rPr>
                              <w:t xml:space="preserve">: </w:t>
                            </w:r>
                            <w:r>
                              <w:rPr>
                                <w:rFonts w:ascii="Times New Roman" w:hAnsi="Times New Roman"/>
                                <w:color w:val="000000" w:themeColor="text1"/>
                                <w:sz w:val="24"/>
                                <w:szCs w:val="24"/>
                              </w:rPr>
                              <w:t>Усредненные интервалы предпочтений неэффективности рынка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27" o:spid="_x0000_s1062" type="#_x0000_t202" style="position:absolute;margin-left:75.35pt;margin-top:78.15pt;width:316.9pt;height: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" stroked="f">
                <v:textbox inset="0,0,0,0">
                  <w:txbxContent>
                    <w:p w:rsidR="00DA0396" w:rsidRPr="001A44A1" w:rsidRDefault="00DA0396" w:rsidP="000A78EF">
                      <w:pPr>
                        <w:pStyle w:val="aa"/>
                        <w:jc w:val="center"/>
                        <w:rPr>
                          <w:rFonts w:ascii="Times New Roman" w:hAnsi="Times New Roman"/>
                          <w:noProof/>
                          <w:color w:val="000000" w:themeColor="text1"/>
                          <w:sz w:val="24"/>
                          <w:szCs w:val="24"/>
                        </w:rPr>
                      </w:pPr>
                      <w:r>
                        <w:rPr>
                          <w:rFonts w:ascii="Times New Roman" w:hAnsi="Times New Roman"/>
                          <w:color w:val="000000" w:themeColor="text1"/>
                          <w:sz w:val="24"/>
                          <w:szCs w:val="24"/>
                        </w:rPr>
                        <w:t>График 8</w:t>
                      </w:r>
                      <w:r w:rsidRPr="001A44A1">
                        <w:rPr>
                          <w:rFonts w:ascii="Times New Roman" w:hAnsi="Times New Roman"/>
                          <w:color w:val="000000" w:themeColor="text1"/>
                          <w:sz w:val="24"/>
                          <w:szCs w:val="24"/>
                        </w:rPr>
                        <w:t xml:space="preserve">: </w:t>
                      </w:r>
                      <w:r>
                        <w:rPr>
                          <w:rFonts w:ascii="Times New Roman" w:hAnsi="Times New Roman"/>
                          <w:color w:val="000000" w:themeColor="text1"/>
                          <w:sz w:val="24"/>
                          <w:szCs w:val="24"/>
                        </w:rPr>
                        <w:t>Усредненные интервалы предпочтений неэффективности рынка</w:t>
                      </w:r>
                    </w:p>
                  </w:txbxContent>
                </v:textbox>
                <w10:wrap type="tight"/>
              </v:shape>
            </w:pict>
          </mc:Fallback>
        </mc:AlternateContent>
      </w: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r>
        <w:rPr>
          <w:noProof/>
          <w:lang w:eastAsia="ru-RU"/>
        </w:rPr>
        <w:drawing>
          <wp:anchor distT="0" distB="0" distL="114300" distR="114300" simplePos="0" relativeHeight="251717632" behindDoc="1" locked="0" layoutInCell="1" allowOverlap="1" wp14:anchorId="3F044121" wp14:editId="214376EB">
            <wp:simplePos x="0" y="0"/>
            <wp:positionH relativeFrom="column">
              <wp:posOffset>679450</wp:posOffset>
            </wp:positionH>
            <wp:positionV relativeFrom="paragraph">
              <wp:posOffset>33655</wp:posOffset>
            </wp:positionV>
            <wp:extent cx="4572000" cy="2743200"/>
            <wp:effectExtent l="0" t="0" r="19050" b="19050"/>
            <wp:wrapTight wrapText="bothSides">
              <wp:wrapPolygon edited="0">
                <wp:start x="0" y="0"/>
                <wp:lineTo x="0" y="21600"/>
                <wp:lineTo x="21600" y="21600"/>
                <wp:lineTo x="21600" y="0"/>
                <wp:lineTo x="0" y="0"/>
              </wp:wrapPolygon>
            </wp:wrapTight>
            <wp:docPr id="1028" name="Диаграмма 10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8656" behindDoc="0" locked="0" layoutInCell="1" allowOverlap="1" wp14:anchorId="3435C660" wp14:editId="0E0822C6">
                <wp:simplePos x="0" y="0"/>
                <wp:positionH relativeFrom="column">
                  <wp:posOffset>1200150</wp:posOffset>
                </wp:positionH>
                <wp:positionV relativeFrom="paragraph">
                  <wp:posOffset>266065</wp:posOffset>
                </wp:positionV>
                <wp:extent cx="4024630" cy="200025"/>
                <wp:effectExtent l="0" t="0" r="0" b="9525"/>
                <wp:wrapTight wrapText="bothSides">
                  <wp:wrapPolygon edited="0">
                    <wp:start x="0" y="0"/>
                    <wp:lineTo x="0" y="20571"/>
                    <wp:lineTo x="21470" y="20571"/>
                    <wp:lineTo x="21470" y="0"/>
                    <wp:lineTo x="0" y="0"/>
                  </wp:wrapPolygon>
                </wp:wrapTight>
                <wp:docPr id="1029" name="Поле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C052EA" w:rsidRDefault="00DA0396" w:rsidP="000A78EF">
                            <w:pPr>
                              <w:pStyle w:val="aa"/>
                              <w:jc w:val="right"/>
                              <w:rPr>
                                <w:rFonts w:ascii="Times New Roman" w:hAnsi="Times New Roman"/>
                                <w:noProof/>
                                <w:color w:val="000000" w:themeColor="text1"/>
                                <w:sz w:val="20"/>
                                <w:szCs w:val="20"/>
                              </w:rPr>
                            </w:pPr>
                            <w:r>
                              <w:rPr>
                                <w:rFonts w:ascii="Times New Roman" w:hAnsi="Times New Roman"/>
                                <w:color w:val="000000" w:themeColor="text1"/>
                                <w:sz w:val="20"/>
                                <w:szCs w:val="20"/>
                              </w:rPr>
                              <w:t>Источник: собственные расчеты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29" o:spid="_x0000_s1063" type="#_x0000_t202" style="position:absolute;margin-left:94.5pt;margin-top:20.95pt;width:316.9pt;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" stroked="f">
                <v:textbox inset="0,0,0,0">
                  <w:txbxContent>
                    <w:p w:rsidR="00DA0396" w:rsidRPr="00C052EA" w:rsidRDefault="00DA0396" w:rsidP="000A78EF">
                      <w:pPr>
                        <w:pStyle w:val="aa"/>
                        <w:jc w:val="right"/>
                        <w:rPr>
                          <w:rFonts w:ascii="Times New Roman" w:hAnsi="Times New Roman"/>
                          <w:noProof/>
                          <w:color w:val="000000" w:themeColor="text1"/>
                          <w:sz w:val="20"/>
                          <w:szCs w:val="20"/>
                        </w:rPr>
                      </w:pPr>
                      <w:r>
                        <w:rPr>
                          <w:rFonts w:ascii="Times New Roman" w:hAnsi="Times New Roman"/>
                          <w:color w:val="000000" w:themeColor="text1"/>
                          <w:sz w:val="20"/>
                          <w:szCs w:val="20"/>
                        </w:rPr>
                        <w:t>Источник: собственные расчеты</w:t>
                      </w:r>
                    </w:p>
                  </w:txbxContent>
                </v:textbox>
                <w10:wrap type="tight"/>
              </v:shape>
            </w:pict>
          </mc:Fallback>
        </mc:AlternateContent>
      </w:r>
    </w:p>
    <w:p w:rsidR="000A78EF" w:rsidRDefault="000A78EF" w:rsidP="000A78EF">
      <w:pPr>
        <w:rPr>
          <w:rFonts w:ascii="Times New Roman" w:hAnsi="Times New Roman" w:cs="Times New Roman"/>
          <w:sz w:val="28"/>
          <w:szCs w:val="28"/>
        </w:rPr>
      </w:pPr>
      <w:r w:rsidRPr="0049073D">
        <w:rPr>
          <w:noProof/>
          <w:lang w:eastAsia="ru-RU"/>
        </w:rPr>
        <w:lastRenderedPageBreak/>
        <w:drawing>
          <wp:anchor distT="0" distB="0" distL="114300" distR="114300" simplePos="0" relativeHeight="251720704" behindDoc="0" locked="0" layoutInCell="1" allowOverlap="1" wp14:anchorId="692ACDDC" wp14:editId="2A285926">
            <wp:simplePos x="0" y="0"/>
            <wp:positionH relativeFrom="column">
              <wp:posOffset>824865</wp:posOffset>
            </wp:positionH>
            <wp:positionV relativeFrom="paragraph">
              <wp:posOffset>449580</wp:posOffset>
            </wp:positionV>
            <wp:extent cx="4276725" cy="2105025"/>
            <wp:effectExtent l="0" t="0" r="9525" b="9525"/>
            <wp:wrapTopAndBottom/>
            <wp:docPr id="1076" name="Рисунок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14:anchorId="68F0D3AE" wp14:editId="79F5A1FC">
                <wp:simplePos x="0" y="0"/>
                <wp:positionH relativeFrom="column">
                  <wp:posOffset>1000125</wp:posOffset>
                </wp:positionH>
                <wp:positionV relativeFrom="paragraph">
                  <wp:posOffset>73660</wp:posOffset>
                </wp:positionV>
                <wp:extent cx="3856355" cy="361950"/>
                <wp:effectExtent l="0" t="0" r="0" b="0"/>
                <wp:wrapTight wrapText="bothSides">
                  <wp:wrapPolygon edited="0">
                    <wp:start x="0" y="0"/>
                    <wp:lineTo x="0" y="20463"/>
                    <wp:lineTo x="21447" y="20463"/>
                    <wp:lineTo x="21447" y="0"/>
                    <wp:lineTo x="0" y="0"/>
                  </wp:wrapPolygon>
                </wp:wrapTight>
                <wp:docPr id="1031" name="Поле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35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1A44A1" w:rsidRDefault="00DA0396" w:rsidP="000A78EF">
                            <w:pPr>
                              <w:pStyle w:val="aa"/>
                              <w:jc w:val="center"/>
                              <w:rPr>
                                <w:rFonts w:ascii="Times New Roman" w:hAnsi="Times New Roman"/>
                                <w:noProof/>
                                <w:color w:val="000000" w:themeColor="text1"/>
                                <w:sz w:val="24"/>
                                <w:szCs w:val="24"/>
                              </w:rPr>
                            </w:pPr>
                            <w:r>
                              <w:rPr>
                                <w:rFonts w:ascii="Times New Roman" w:hAnsi="Times New Roman"/>
                                <w:color w:val="000000" w:themeColor="text1"/>
                                <w:sz w:val="24"/>
                                <w:szCs w:val="24"/>
                              </w:rPr>
                              <w:t>Таблица 9: Результаты применения одновыборочного t-критерия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31" o:spid="_x0000_s1064" type="#_x0000_t202" style="position:absolute;margin-left:78.75pt;margin-top:5.8pt;width:303.65pt;height:2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" stroked="f">
                <v:textbox inset="0,0,0,0">
                  <w:txbxContent>
                    <w:p w:rsidR="00DA0396" w:rsidRPr="001A44A1" w:rsidRDefault="00DA0396" w:rsidP="000A78EF">
                      <w:pPr>
                        <w:pStyle w:val="aa"/>
                        <w:jc w:val="center"/>
                        <w:rPr>
                          <w:rFonts w:ascii="Times New Roman" w:hAnsi="Times New Roman"/>
                          <w:noProof/>
                          <w:color w:val="000000" w:themeColor="text1"/>
                          <w:sz w:val="24"/>
                          <w:szCs w:val="24"/>
                        </w:rPr>
                      </w:pPr>
                      <w:r>
                        <w:rPr>
                          <w:rFonts w:ascii="Times New Roman" w:hAnsi="Times New Roman"/>
                          <w:color w:val="000000" w:themeColor="text1"/>
                          <w:sz w:val="24"/>
                          <w:szCs w:val="24"/>
                        </w:rPr>
                        <w:t>Таблица 9: Результаты применения одновыборочного t-критерия</w:t>
                      </w:r>
                    </w:p>
                  </w:txbxContent>
                </v:textbox>
                <w10:wrap type="tight"/>
              </v:shape>
            </w:pict>
          </mc:Fallback>
        </mc:AlternateContent>
      </w:r>
    </w:p>
    <w:p w:rsidR="000A78EF" w:rsidRDefault="000A78EF" w:rsidP="000A78EF">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1728" behindDoc="0" locked="0" layoutInCell="1" allowOverlap="1" wp14:anchorId="5F543057" wp14:editId="3BCF53BF">
                <wp:simplePos x="0" y="0"/>
                <wp:positionH relativeFrom="column">
                  <wp:posOffset>1027430</wp:posOffset>
                </wp:positionH>
                <wp:positionV relativeFrom="paragraph">
                  <wp:posOffset>2210435</wp:posOffset>
                </wp:positionV>
                <wp:extent cx="4024630" cy="200025"/>
                <wp:effectExtent l="0" t="0" r="0" b="9525"/>
                <wp:wrapTight wrapText="bothSides">
                  <wp:wrapPolygon edited="0">
                    <wp:start x="0" y="0"/>
                    <wp:lineTo x="0" y="20571"/>
                    <wp:lineTo x="21470" y="20571"/>
                    <wp:lineTo x="21470" y="0"/>
                    <wp:lineTo x="0" y="0"/>
                  </wp:wrapPolygon>
                </wp:wrapTight>
                <wp:docPr id="1064" name="Поле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C052EA" w:rsidRDefault="00DA0396" w:rsidP="000A78EF">
                            <w:pPr>
                              <w:pStyle w:val="aa"/>
                              <w:jc w:val="right"/>
                              <w:rPr>
                                <w:rFonts w:ascii="Times New Roman" w:hAnsi="Times New Roman"/>
                                <w:noProof/>
                                <w:color w:val="000000" w:themeColor="text1"/>
                                <w:sz w:val="20"/>
                                <w:szCs w:val="20"/>
                              </w:rPr>
                            </w:pPr>
                            <w:r>
                              <w:rPr>
                                <w:rFonts w:ascii="Times New Roman" w:hAnsi="Times New Roman"/>
                                <w:color w:val="000000" w:themeColor="text1"/>
                                <w:sz w:val="20"/>
                                <w:szCs w:val="20"/>
                              </w:rPr>
                              <w:t>Источник: собственные расчеты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64" o:spid="_x0000_s1065" type="#_x0000_t202" style="position:absolute;margin-left:80.9pt;margin-top:174.05pt;width:316.9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" stroked="f">
                <v:textbox inset="0,0,0,0">
                  <w:txbxContent>
                    <w:p w:rsidR="00DA0396" w:rsidRPr="00C052EA" w:rsidRDefault="00DA0396" w:rsidP="000A78EF">
                      <w:pPr>
                        <w:pStyle w:val="aa"/>
                        <w:jc w:val="right"/>
                        <w:rPr>
                          <w:rFonts w:ascii="Times New Roman" w:hAnsi="Times New Roman"/>
                          <w:noProof/>
                          <w:color w:val="000000" w:themeColor="text1"/>
                          <w:sz w:val="20"/>
                          <w:szCs w:val="20"/>
                        </w:rPr>
                      </w:pPr>
                      <w:r>
                        <w:rPr>
                          <w:rFonts w:ascii="Times New Roman" w:hAnsi="Times New Roman"/>
                          <w:color w:val="000000" w:themeColor="text1"/>
                          <w:sz w:val="20"/>
                          <w:szCs w:val="20"/>
                        </w:rPr>
                        <w:t>Источник: собственные расчеты</w:t>
                      </w:r>
                    </w:p>
                  </w:txbxContent>
                </v:textbox>
                <w10:wrap type="tight"/>
              </v:shape>
            </w:pict>
          </mc:Fallback>
        </mc:AlternateContent>
      </w:r>
    </w:p>
    <w:p w:rsidR="000A78EF" w:rsidRDefault="000A78EF" w:rsidP="000A78EF">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2752" behindDoc="0" locked="0" layoutInCell="1" allowOverlap="1" wp14:anchorId="1BCC8D92" wp14:editId="115FE2F3">
                <wp:simplePos x="0" y="0"/>
                <wp:positionH relativeFrom="column">
                  <wp:posOffset>1022350</wp:posOffset>
                </wp:positionH>
                <wp:positionV relativeFrom="paragraph">
                  <wp:posOffset>64135</wp:posOffset>
                </wp:positionV>
                <wp:extent cx="3856355" cy="361950"/>
                <wp:effectExtent l="0" t="0" r="0" b="0"/>
                <wp:wrapTight wrapText="bothSides">
                  <wp:wrapPolygon edited="0">
                    <wp:start x="0" y="0"/>
                    <wp:lineTo x="0" y="20463"/>
                    <wp:lineTo x="21447" y="20463"/>
                    <wp:lineTo x="21447" y="0"/>
                    <wp:lineTo x="0" y="0"/>
                  </wp:wrapPolygon>
                </wp:wrapTight>
                <wp:docPr id="1065" name="Поле 1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35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1A44A1" w:rsidRDefault="00DA0396" w:rsidP="000A78EF">
                            <w:pPr>
                              <w:pStyle w:val="aa"/>
                              <w:jc w:val="center"/>
                              <w:rPr>
                                <w:rFonts w:ascii="Times New Roman" w:hAnsi="Times New Roman"/>
                                <w:noProof/>
                                <w:color w:val="000000" w:themeColor="text1"/>
                                <w:sz w:val="24"/>
                                <w:szCs w:val="24"/>
                              </w:rPr>
                            </w:pPr>
                            <w:r>
                              <w:rPr>
                                <w:rFonts w:ascii="Times New Roman" w:hAnsi="Times New Roman"/>
                                <w:color w:val="000000" w:themeColor="text1"/>
                                <w:sz w:val="24"/>
                                <w:szCs w:val="24"/>
                              </w:rPr>
                              <w:t>График 10: Относительные параметры предпочтений СРО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65" o:spid="_x0000_s1066" type="#_x0000_t202" style="position:absolute;margin-left:80.5pt;margin-top:5.05pt;width:303.65pt;height:2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" stroked="f">
                <v:textbox inset="0,0,0,0">
                  <w:txbxContent>
                    <w:p w:rsidR="00DA0396" w:rsidRPr="001A44A1" w:rsidRDefault="00DA0396" w:rsidP="000A78EF">
                      <w:pPr>
                        <w:pStyle w:val="aa"/>
                        <w:jc w:val="center"/>
                        <w:rPr>
                          <w:rFonts w:ascii="Times New Roman" w:hAnsi="Times New Roman"/>
                          <w:noProof/>
                          <w:color w:val="000000" w:themeColor="text1"/>
                          <w:sz w:val="24"/>
                          <w:szCs w:val="24"/>
                        </w:rPr>
                      </w:pPr>
                      <w:r>
                        <w:rPr>
                          <w:rFonts w:ascii="Times New Roman" w:hAnsi="Times New Roman"/>
                          <w:color w:val="000000" w:themeColor="text1"/>
                          <w:sz w:val="24"/>
                          <w:szCs w:val="24"/>
                        </w:rPr>
                        <w:t>График 10: Относительные параметры предпочтений СРО</w:t>
                      </w:r>
                    </w:p>
                  </w:txbxContent>
                </v:textbox>
                <w10:wrap type="tight"/>
              </v:shape>
            </w:pict>
          </mc:Fallback>
        </mc:AlternateContent>
      </w:r>
    </w:p>
    <w:p w:rsidR="000A78EF" w:rsidRDefault="000A78EF" w:rsidP="000A78EF">
      <w:pPr>
        <w:rPr>
          <w:rFonts w:ascii="Times New Roman" w:hAnsi="Times New Roman" w:cs="Times New Roman"/>
          <w:sz w:val="28"/>
          <w:szCs w:val="28"/>
        </w:rPr>
      </w:pPr>
      <w:r>
        <w:rPr>
          <w:rFonts w:ascii="Times New Roman" w:eastAsiaTheme="minorEastAsia" w:hAnsi="Times New Roman" w:cs="Times New Roman"/>
          <w:noProof/>
          <w:sz w:val="28"/>
          <w:szCs w:val="28"/>
          <w:lang w:eastAsia="ru-RU"/>
        </w:rPr>
        <w:drawing>
          <wp:anchor distT="0" distB="0" distL="114300" distR="114300" simplePos="0" relativeHeight="251723776" behindDoc="1" locked="0" layoutInCell="1" allowOverlap="1" wp14:anchorId="26922DA4" wp14:editId="50EDAA3E">
            <wp:simplePos x="0" y="0"/>
            <wp:positionH relativeFrom="column">
              <wp:posOffset>666750</wp:posOffset>
            </wp:positionH>
            <wp:positionV relativeFrom="paragraph">
              <wp:posOffset>81915</wp:posOffset>
            </wp:positionV>
            <wp:extent cx="4584700" cy="2749550"/>
            <wp:effectExtent l="0" t="0" r="6350" b="0"/>
            <wp:wrapTight wrapText="bothSides">
              <wp:wrapPolygon edited="0">
                <wp:start x="0" y="0"/>
                <wp:lineTo x="0" y="21400"/>
                <wp:lineTo x="21540" y="21400"/>
                <wp:lineTo x="21540" y="0"/>
                <wp:lineTo x="0" y="0"/>
              </wp:wrapPolygon>
            </wp:wrapTight>
            <wp:docPr id="1077" name="Рисунок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2749550"/>
                    </a:xfrm>
                    <a:prstGeom prst="rect">
                      <a:avLst/>
                    </a:prstGeom>
                    <a:noFill/>
                  </pic:spPr>
                </pic:pic>
              </a:graphicData>
            </a:graphic>
            <wp14:sizeRelH relativeFrom="page">
              <wp14:pctWidth>0</wp14:pctWidth>
            </wp14:sizeRelH>
            <wp14:sizeRelV relativeFrom="page">
              <wp14:pctHeight>0</wp14:pctHeight>
            </wp14:sizeRelV>
          </wp:anchor>
        </w:drawing>
      </w: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5824" behindDoc="0" locked="0" layoutInCell="1" allowOverlap="1" wp14:anchorId="48A8F92B" wp14:editId="156BCF00">
                <wp:simplePos x="0" y="0"/>
                <wp:positionH relativeFrom="column">
                  <wp:posOffset>557530</wp:posOffset>
                </wp:positionH>
                <wp:positionV relativeFrom="paragraph">
                  <wp:posOffset>474345</wp:posOffset>
                </wp:positionV>
                <wp:extent cx="4926330" cy="361950"/>
                <wp:effectExtent l="0" t="0" r="7620" b="0"/>
                <wp:wrapTight wrapText="bothSides">
                  <wp:wrapPolygon edited="0">
                    <wp:start x="0" y="0"/>
                    <wp:lineTo x="0" y="20463"/>
                    <wp:lineTo x="21550" y="20463"/>
                    <wp:lineTo x="21550" y="0"/>
                    <wp:lineTo x="0" y="0"/>
                  </wp:wrapPolygon>
                </wp:wrapTight>
                <wp:docPr id="1066" name="Поле 1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33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1A44A1" w:rsidRDefault="00DA0396" w:rsidP="000A78EF">
                            <w:pPr>
                              <w:pStyle w:val="aa"/>
                              <w:jc w:val="center"/>
                              <w:rPr>
                                <w:rFonts w:ascii="Times New Roman" w:hAnsi="Times New Roman"/>
                                <w:noProof/>
                                <w:color w:val="000000" w:themeColor="text1"/>
                                <w:sz w:val="24"/>
                                <w:szCs w:val="24"/>
                              </w:rPr>
                            </w:pPr>
                            <w:r>
                              <w:rPr>
                                <w:rFonts w:ascii="Times New Roman" w:hAnsi="Times New Roman"/>
                                <w:color w:val="000000" w:themeColor="text1"/>
                                <w:sz w:val="24"/>
                                <w:szCs w:val="24"/>
                              </w:rPr>
                              <w:t>Таблица 11: Результаты применения двухвыборочного t-критерия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66" o:spid="_x0000_s1067" type="#_x0000_t202" style="position:absolute;margin-left:43.9pt;margin-top:37.35pt;width:387.9pt;height:2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" stroked="f">
                <v:textbox inset="0,0,0,0">
                  <w:txbxContent>
                    <w:p w:rsidR="00DA0396" w:rsidRPr="001A44A1" w:rsidRDefault="00DA0396" w:rsidP="000A78EF">
                      <w:pPr>
                        <w:pStyle w:val="aa"/>
                        <w:jc w:val="center"/>
                        <w:rPr>
                          <w:rFonts w:ascii="Times New Roman" w:hAnsi="Times New Roman"/>
                          <w:noProof/>
                          <w:color w:val="000000" w:themeColor="text1"/>
                          <w:sz w:val="24"/>
                          <w:szCs w:val="24"/>
                        </w:rPr>
                      </w:pPr>
                      <w:r>
                        <w:rPr>
                          <w:rFonts w:ascii="Times New Roman" w:hAnsi="Times New Roman"/>
                          <w:color w:val="000000" w:themeColor="text1"/>
                          <w:sz w:val="24"/>
                          <w:szCs w:val="24"/>
                        </w:rPr>
                        <w:t>Таблица 11: Результаты применения двухвыборочного t-критерия</w:t>
                      </w:r>
                    </w:p>
                  </w:txbxContent>
                </v:textbox>
                <w10:wrap type="tight"/>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24800" behindDoc="0" locked="0" layoutInCell="1" allowOverlap="1" wp14:anchorId="63F0E773" wp14:editId="2BEC0650">
                <wp:simplePos x="0" y="0"/>
                <wp:positionH relativeFrom="column">
                  <wp:posOffset>1156970</wp:posOffset>
                </wp:positionH>
                <wp:positionV relativeFrom="paragraph">
                  <wp:posOffset>227965</wp:posOffset>
                </wp:positionV>
                <wp:extent cx="4024630" cy="200025"/>
                <wp:effectExtent l="0" t="0" r="0" b="9525"/>
                <wp:wrapTight wrapText="bothSides">
                  <wp:wrapPolygon edited="0">
                    <wp:start x="0" y="0"/>
                    <wp:lineTo x="0" y="20571"/>
                    <wp:lineTo x="21470" y="20571"/>
                    <wp:lineTo x="21470" y="0"/>
                    <wp:lineTo x="0" y="0"/>
                  </wp:wrapPolygon>
                </wp:wrapTight>
                <wp:docPr id="1067" name="Поле 1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C052EA" w:rsidRDefault="00DA0396" w:rsidP="000A78EF">
                            <w:pPr>
                              <w:pStyle w:val="aa"/>
                              <w:jc w:val="right"/>
                              <w:rPr>
                                <w:rFonts w:ascii="Times New Roman" w:hAnsi="Times New Roman"/>
                                <w:noProof/>
                                <w:color w:val="000000" w:themeColor="text1"/>
                                <w:sz w:val="20"/>
                                <w:szCs w:val="20"/>
                              </w:rPr>
                            </w:pPr>
                            <w:r>
                              <w:rPr>
                                <w:rFonts w:ascii="Times New Roman" w:hAnsi="Times New Roman"/>
                                <w:color w:val="000000" w:themeColor="text1"/>
                                <w:sz w:val="20"/>
                                <w:szCs w:val="20"/>
                              </w:rPr>
                              <w:t>Источник: собственные расчеты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67" o:spid="_x0000_s1068" type="#_x0000_t202" style="position:absolute;margin-left:91.1pt;margin-top:17.95pt;width:316.9pt;height:1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" stroked="f">
                <v:textbox inset="0,0,0,0">
                  <w:txbxContent>
                    <w:p w:rsidR="00DA0396" w:rsidRPr="00C052EA" w:rsidRDefault="00DA0396" w:rsidP="000A78EF">
                      <w:pPr>
                        <w:pStyle w:val="aa"/>
                        <w:jc w:val="right"/>
                        <w:rPr>
                          <w:rFonts w:ascii="Times New Roman" w:hAnsi="Times New Roman"/>
                          <w:noProof/>
                          <w:color w:val="000000" w:themeColor="text1"/>
                          <w:sz w:val="20"/>
                          <w:szCs w:val="20"/>
                        </w:rPr>
                      </w:pPr>
                      <w:r>
                        <w:rPr>
                          <w:rFonts w:ascii="Times New Roman" w:hAnsi="Times New Roman"/>
                          <w:color w:val="000000" w:themeColor="text1"/>
                          <w:sz w:val="20"/>
                          <w:szCs w:val="20"/>
                        </w:rPr>
                        <w:t>Источник: собственные расчеты</w:t>
                      </w:r>
                    </w:p>
                  </w:txbxContent>
                </v:textbox>
                <w10:wrap type="tight"/>
              </v:shape>
            </w:pict>
          </mc:Fallback>
        </mc:AlternateContent>
      </w:r>
    </w:p>
    <w:tbl>
      <w:tblPr>
        <w:tblpPr w:leftFromText="180" w:rightFromText="180" w:vertAnchor="text" w:horzAnchor="margin" w:tblpXSpec="center" w:tblpY="840"/>
        <w:tblW w:w="3700" w:type="dxa"/>
        <w:tblLook w:val="04A0" w:firstRow="1" w:lastRow="0" w:firstColumn="1" w:lastColumn="0" w:noHBand="0" w:noVBand="1"/>
      </w:tblPr>
      <w:tblGrid>
        <w:gridCol w:w="960"/>
        <w:gridCol w:w="1260"/>
        <w:gridCol w:w="1480"/>
      </w:tblGrid>
      <w:tr w:rsidR="000A78EF" w:rsidRPr="003B76AC" w:rsidTr="00DA039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8EF" w:rsidRPr="003B76AC" w:rsidRDefault="000A78EF" w:rsidP="00DA0396">
            <w:pPr>
              <w:spacing w:after="0" w:line="240" w:lineRule="auto"/>
              <w:jc w:val="center"/>
              <w:rPr>
                <w:rFonts w:ascii="Calibri" w:eastAsia="Times New Roman" w:hAnsi="Calibri" w:cs="Times New Roman"/>
                <w:b/>
                <w:bCs/>
                <w:color w:val="000000"/>
                <w:lang w:eastAsia="ru-RU"/>
              </w:rPr>
            </w:pPr>
            <w:proofErr w:type="spellStart"/>
            <w:r w:rsidRPr="003B76AC">
              <w:rPr>
                <w:rFonts w:ascii="Calibri" w:eastAsia="Times New Roman" w:hAnsi="Calibri" w:cs="Times New Roman"/>
                <w:b/>
                <w:bCs/>
                <w:color w:val="000000"/>
                <w:lang w:eastAsia="ru-RU"/>
              </w:rPr>
              <w:t>Date</w:t>
            </w:r>
            <w:proofErr w:type="spellEnd"/>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A78EF" w:rsidRPr="003B76AC" w:rsidRDefault="000A78EF" w:rsidP="00DA0396">
            <w:pPr>
              <w:spacing w:after="0" w:line="240" w:lineRule="auto"/>
              <w:jc w:val="center"/>
              <w:rPr>
                <w:rFonts w:ascii="Calibri" w:eastAsia="Times New Roman" w:hAnsi="Calibri" w:cs="Times New Roman"/>
                <w:b/>
                <w:bCs/>
                <w:color w:val="000000"/>
                <w:lang w:eastAsia="ru-RU"/>
              </w:rPr>
            </w:pPr>
            <w:r w:rsidRPr="003B76AC">
              <w:rPr>
                <w:rFonts w:ascii="Calibri" w:eastAsia="Times New Roman" w:hAnsi="Calibri" w:cs="Times New Roman"/>
                <w:b/>
                <w:bCs/>
                <w:color w:val="000000"/>
                <w:lang w:eastAsia="ru-RU"/>
              </w:rPr>
              <w:t>t-статистика</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0A78EF" w:rsidRPr="003B76AC" w:rsidRDefault="000A78EF" w:rsidP="00DA0396">
            <w:pPr>
              <w:spacing w:after="0" w:line="240" w:lineRule="auto"/>
              <w:jc w:val="center"/>
              <w:rPr>
                <w:rFonts w:ascii="Calibri" w:eastAsia="Times New Roman" w:hAnsi="Calibri" w:cs="Times New Roman"/>
                <w:b/>
                <w:bCs/>
                <w:color w:val="000000"/>
                <w:lang w:eastAsia="ru-RU"/>
              </w:rPr>
            </w:pPr>
            <w:r w:rsidRPr="003B76AC">
              <w:rPr>
                <w:rFonts w:ascii="Calibri" w:eastAsia="Times New Roman" w:hAnsi="Calibri" w:cs="Times New Roman"/>
                <w:b/>
                <w:bCs/>
                <w:color w:val="000000"/>
                <w:lang w:eastAsia="ru-RU"/>
              </w:rPr>
              <w:t>t-критическое</w:t>
            </w:r>
          </w:p>
        </w:tc>
      </w:tr>
      <w:tr w:rsidR="000A78EF" w:rsidRPr="003B76AC" w:rsidTr="00DA039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78EF" w:rsidRPr="003B76AC" w:rsidRDefault="000A78EF" w:rsidP="00DA0396">
            <w:pPr>
              <w:spacing w:after="0" w:line="240" w:lineRule="auto"/>
              <w:jc w:val="right"/>
              <w:rPr>
                <w:rFonts w:ascii="Calibri" w:eastAsia="Times New Roman" w:hAnsi="Calibri" w:cs="Times New Roman"/>
                <w:color w:val="000000"/>
                <w:lang w:eastAsia="ru-RU"/>
              </w:rPr>
            </w:pPr>
            <w:r w:rsidRPr="003B76AC">
              <w:rPr>
                <w:rFonts w:ascii="Calibri" w:eastAsia="Times New Roman" w:hAnsi="Calibri" w:cs="Times New Roman"/>
                <w:color w:val="000000"/>
                <w:lang w:eastAsia="ru-RU"/>
              </w:rPr>
              <w:t>2002</w:t>
            </w:r>
          </w:p>
        </w:tc>
        <w:tc>
          <w:tcPr>
            <w:tcW w:w="1260" w:type="dxa"/>
            <w:tcBorders>
              <w:top w:val="nil"/>
              <w:left w:val="nil"/>
              <w:bottom w:val="single" w:sz="4" w:space="0" w:color="auto"/>
              <w:right w:val="single" w:sz="4" w:space="0" w:color="auto"/>
            </w:tcBorders>
            <w:shd w:val="clear" w:color="auto" w:fill="auto"/>
            <w:noWrap/>
            <w:vAlign w:val="bottom"/>
            <w:hideMark/>
          </w:tcPr>
          <w:p w:rsidR="000A78EF" w:rsidRPr="003B76AC" w:rsidRDefault="000A78EF" w:rsidP="00DA0396">
            <w:pPr>
              <w:spacing w:after="0" w:line="240" w:lineRule="auto"/>
              <w:jc w:val="right"/>
              <w:rPr>
                <w:rFonts w:ascii="Calibri" w:eastAsia="Times New Roman" w:hAnsi="Calibri" w:cs="Times New Roman"/>
                <w:color w:val="000000"/>
                <w:lang w:eastAsia="ru-RU"/>
              </w:rPr>
            </w:pPr>
            <w:r w:rsidRPr="003B76AC">
              <w:rPr>
                <w:rFonts w:ascii="Calibri" w:eastAsia="Times New Roman" w:hAnsi="Calibri" w:cs="Times New Roman"/>
                <w:color w:val="000000"/>
                <w:lang w:eastAsia="ru-RU"/>
              </w:rPr>
              <w:t>-1,873</w:t>
            </w:r>
          </w:p>
        </w:tc>
        <w:tc>
          <w:tcPr>
            <w:tcW w:w="1480" w:type="dxa"/>
            <w:tcBorders>
              <w:top w:val="nil"/>
              <w:left w:val="nil"/>
              <w:bottom w:val="single" w:sz="4" w:space="0" w:color="auto"/>
              <w:right w:val="single" w:sz="4" w:space="0" w:color="auto"/>
            </w:tcBorders>
            <w:shd w:val="clear" w:color="auto" w:fill="auto"/>
            <w:noWrap/>
            <w:vAlign w:val="bottom"/>
            <w:hideMark/>
          </w:tcPr>
          <w:p w:rsidR="000A78EF" w:rsidRPr="003B76AC" w:rsidRDefault="000A78EF" w:rsidP="00DA0396">
            <w:pPr>
              <w:spacing w:after="0" w:line="240" w:lineRule="auto"/>
              <w:jc w:val="right"/>
              <w:rPr>
                <w:rFonts w:ascii="Calibri" w:eastAsia="Times New Roman" w:hAnsi="Calibri" w:cs="Times New Roman"/>
                <w:color w:val="000000"/>
                <w:lang w:eastAsia="ru-RU"/>
              </w:rPr>
            </w:pPr>
            <w:r w:rsidRPr="003B76AC">
              <w:rPr>
                <w:rFonts w:ascii="Calibri" w:eastAsia="Times New Roman" w:hAnsi="Calibri" w:cs="Times New Roman"/>
                <w:color w:val="000000"/>
                <w:lang w:eastAsia="ru-RU"/>
              </w:rPr>
              <w:t>2,0345</w:t>
            </w:r>
          </w:p>
        </w:tc>
      </w:tr>
      <w:tr w:rsidR="000A78EF" w:rsidRPr="003B76AC" w:rsidTr="00DA039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78EF" w:rsidRPr="003B76AC" w:rsidRDefault="000A78EF" w:rsidP="00DA0396">
            <w:pPr>
              <w:spacing w:after="0" w:line="240" w:lineRule="auto"/>
              <w:jc w:val="right"/>
              <w:rPr>
                <w:rFonts w:ascii="Calibri" w:eastAsia="Times New Roman" w:hAnsi="Calibri" w:cs="Times New Roman"/>
                <w:color w:val="000000"/>
                <w:lang w:eastAsia="ru-RU"/>
              </w:rPr>
            </w:pPr>
            <w:r w:rsidRPr="003B76AC">
              <w:rPr>
                <w:rFonts w:ascii="Calibri" w:eastAsia="Times New Roman" w:hAnsi="Calibri" w:cs="Times New Roman"/>
                <w:color w:val="000000"/>
                <w:lang w:eastAsia="ru-RU"/>
              </w:rPr>
              <w:t>2003</w:t>
            </w:r>
          </w:p>
        </w:tc>
        <w:tc>
          <w:tcPr>
            <w:tcW w:w="1260" w:type="dxa"/>
            <w:tcBorders>
              <w:top w:val="nil"/>
              <w:left w:val="nil"/>
              <w:bottom w:val="single" w:sz="4" w:space="0" w:color="auto"/>
              <w:right w:val="single" w:sz="4" w:space="0" w:color="auto"/>
            </w:tcBorders>
            <w:shd w:val="clear" w:color="auto" w:fill="auto"/>
            <w:noWrap/>
            <w:vAlign w:val="bottom"/>
            <w:hideMark/>
          </w:tcPr>
          <w:p w:rsidR="000A78EF" w:rsidRPr="003B76AC" w:rsidRDefault="000A78EF" w:rsidP="00DA0396">
            <w:pPr>
              <w:spacing w:after="0" w:line="240" w:lineRule="auto"/>
              <w:jc w:val="right"/>
              <w:rPr>
                <w:rFonts w:ascii="Calibri" w:eastAsia="Times New Roman" w:hAnsi="Calibri" w:cs="Times New Roman"/>
                <w:color w:val="000000"/>
                <w:lang w:eastAsia="ru-RU"/>
              </w:rPr>
            </w:pPr>
            <w:r w:rsidRPr="003B76AC">
              <w:rPr>
                <w:rFonts w:ascii="Calibri" w:eastAsia="Times New Roman" w:hAnsi="Calibri" w:cs="Times New Roman"/>
                <w:color w:val="000000"/>
                <w:lang w:eastAsia="ru-RU"/>
              </w:rPr>
              <w:t>-0,984</w:t>
            </w:r>
          </w:p>
        </w:tc>
        <w:tc>
          <w:tcPr>
            <w:tcW w:w="1480" w:type="dxa"/>
            <w:tcBorders>
              <w:top w:val="nil"/>
              <w:left w:val="nil"/>
              <w:bottom w:val="single" w:sz="4" w:space="0" w:color="auto"/>
              <w:right w:val="single" w:sz="4" w:space="0" w:color="auto"/>
            </w:tcBorders>
            <w:shd w:val="clear" w:color="auto" w:fill="auto"/>
            <w:noWrap/>
            <w:vAlign w:val="bottom"/>
            <w:hideMark/>
          </w:tcPr>
          <w:p w:rsidR="000A78EF" w:rsidRPr="003B76AC" w:rsidRDefault="000A78EF" w:rsidP="00DA0396">
            <w:pPr>
              <w:spacing w:after="0" w:line="240" w:lineRule="auto"/>
              <w:jc w:val="right"/>
              <w:rPr>
                <w:rFonts w:ascii="Calibri" w:eastAsia="Times New Roman" w:hAnsi="Calibri" w:cs="Times New Roman"/>
                <w:color w:val="000000"/>
                <w:lang w:eastAsia="ru-RU"/>
              </w:rPr>
            </w:pPr>
            <w:r w:rsidRPr="003B76AC">
              <w:rPr>
                <w:rFonts w:ascii="Calibri" w:eastAsia="Times New Roman" w:hAnsi="Calibri" w:cs="Times New Roman"/>
                <w:color w:val="000000"/>
                <w:lang w:eastAsia="ru-RU"/>
              </w:rPr>
              <w:t>(</w:t>
            </w:r>
            <w:r w:rsidRPr="003B76AC">
              <w:rPr>
                <w:rFonts w:ascii="Symbol" w:eastAsia="Times New Roman" w:hAnsi="Symbol" w:cs="Times New Roman"/>
                <w:color w:val="000000"/>
                <w:lang w:eastAsia="ru-RU"/>
              </w:rPr>
              <w:t></w:t>
            </w:r>
            <w:r w:rsidRPr="003B76AC">
              <w:rPr>
                <w:rFonts w:ascii="Calibri" w:eastAsia="Times New Roman" w:hAnsi="Calibri" w:cs="Times New Roman"/>
                <w:color w:val="000000"/>
                <w:lang w:eastAsia="ru-RU"/>
              </w:rPr>
              <w:t>=0,05)</w:t>
            </w:r>
          </w:p>
        </w:tc>
      </w:tr>
      <w:tr w:rsidR="000A78EF" w:rsidRPr="003B76AC" w:rsidTr="00DA039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78EF" w:rsidRPr="003B76AC" w:rsidRDefault="000A78EF" w:rsidP="00DA0396">
            <w:pPr>
              <w:spacing w:after="0" w:line="240" w:lineRule="auto"/>
              <w:jc w:val="right"/>
              <w:rPr>
                <w:rFonts w:ascii="Calibri" w:eastAsia="Times New Roman" w:hAnsi="Calibri" w:cs="Times New Roman"/>
                <w:color w:val="000000"/>
                <w:lang w:eastAsia="ru-RU"/>
              </w:rPr>
            </w:pPr>
            <w:r w:rsidRPr="003B76AC">
              <w:rPr>
                <w:rFonts w:ascii="Calibri" w:eastAsia="Times New Roman" w:hAnsi="Calibri" w:cs="Times New Roman"/>
                <w:color w:val="000000"/>
                <w:lang w:eastAsia="ru-RU"/>
              </w:rPr>
              <w:t>2004</w:t>
            </w:r>
          </w:p>
        </w:tc>
        <w:tc>
          <w:tcPr>
            <w:tcW w:w="1260" w:type="dxa"/>
            <w:tcBorders>
              <w:top w:val="nil"/>
              <w:left w:val="nil"/>
              <w:bottom w:val="single" w:sz="4" w:space="0" w:color="auto"/>
              <w:right w:val="single" w:sz="4" w:space="0" w:color="auto"/>
            </w:tcBorders>
            <w:shd w:val="clear" w:color="auto" w:fill="auto"/>
            <w:noWrap/>
            <w:vAlign w:val="bottom"/>
            <w:hideMark/>
          </w:tcPr>
          <w:p w:rsidR="000A78EF" w:rsidRPr="003B76AC" w:rsidRDefault="000A78EF" w:rsidP="00DA0396">
            <w:pPr>
              <w:spacing w:after="0" w:line="240" w:lineRule="auto"/>
              <w:jc w:val="right"/>
              <w:rPr>
                <w:rFonts w:ascii="Calibri" w:eastAsia="Times New Roman" w:hAnsi="Calibri" w:cs="Times New Roman"/>
                <w:color w:val="000000"/>
                <w:lang w:eastAsia="ru-RU"/>
              </w:rPr>
            </w:pPr>
            <w:r w:rsidRPr="003B76AC">
              <w:rPr>
                <w:rFonts w:ascii="Calibri" w:eastAsia="Times New Roman" w:hAnsi="Calibri" w:cs="Times New Roman"/>
                <w:color w:val="000000"/>
                <w:lang w:eastAsia="ru-RU"/>
              </w:rPr>
              <w:t>0,19</w:t>
            </w:r>
          </w:p>
        </w:tc>
        <w:tc>
          <w:tcPr>
            <w:tcW w:w="1480" w:type="dxa"/>
            <w:tcBorders>
              <w:top w:val="nil"/>
              <w:left w:val="nil"/>
              <w:bottom w:val="single" w:sz="4" w:space="0" w:color="auto"/>
              <w:right w:val="single" w:sz="4" w:space="0" w:color="auto"/>
            </w:tcBorders>
            <w:shd w:val="clear" w:color="auto" w:fill="auto"/>
            <w:noWrap/>
            <w:vAlign w:val="bottom"/>
            <w:hideMark/>
          </w:tcPr>
          <w:p w:rsidR="000A78EF" w:rsidRPr="003B76AC" w:rsidRDefault="000A78EF" w:rsidP="00DA0396">
            <w:pPr>
              <w:spacing w:after="0" w:line="240" w:lineRule="auto"/>
              <w:rPr>
                <w:rFonts w:ascii="Calibri" w:eastAsia="Times New Roman" w:hAnsi="Calibri" w:cs="Times New Roman"/>
                <w:color w:val="000000"/>
                <w:lang w:eastAsia="ru-RU"/>
              </w:rPr>
            </w:pPr>
            <w:r w:rsidRPr="003B76AC">
              <w:rPr>
                <w:rFonts w:ascii="Calibri" w:eastAsia="Times New Roman" w:hAnsi="Calibri" w:cs="Times New Roman"/>
                <w:color w:val="000000"/>
                <w:lang w:eastAsia="ru-RU"/>
              </w:rPr>
              <w:t> </w:t>
            </w:r>
          </w:p>
        </w:tc>
      </w:tr>
      <w:tr w:rsidR="000A78EF" w:rsidRPr="003B76AC" w:rsidTr="00DA039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78EF" w:rsidRPr="003B76AC" w:rsidRDefault="000A78EF" w:rsidP="00DA0396">
            <w:pPr>
              <w:spacing w:after="0" w:line="240" w:lineRule="auto"/>
              <w:jc w:val="right"/>
              <w:rPr>
                <w:rFonts w:ascii="Calibri" w:eastAsia="Times New Roman" w:hAnsi="Calibri" w:cs="Times New Roman"/>
                <w:color w:val="000000"/>
                <w:lang w:eastAsia="ru-RU"/>
              </w:rPr>
            </w:pPr>
            <w:r w:rsidRPr="003B76AC">
              <w:rPr>
                <w:rFonts w:ascii="Calibri" w:eastAsia="Times New Roman" w:hAnsi="Calibri" w:cs="Times New Roman"/>
                <w:color w:val="000000"/>
                <w:lang w:eastAsia="ru-RU"/>
              </w:rPr>
              <w:t>2005</w:t>
            </w:r>
          </w:p>
        </w:tc>
        <w:tc>
          <w:tcPr>
            <w:tcW w:w="1260" w:type="dxa"/>
            <w:tcBorders>
              <w:top w:val="nil"/>
              <w:left w:val="nil"/>
              <w:bottom w:val="single" w:sz="4" w:space="0" w:color="auto"/>
              <w:right w:val="single" w:sz="4" w:space="0" w:color="auto"/>
            </w:tcBorders>
            <w:shd w:val="clear" w:color="auto" w:fill="auto"/>
            <w:noWrap/>
            <w:vAlign w:val="bottom"/>
            <w:hideMark/>
          </w:tcPr>
          <w:p w:rsidR="000A78EF" w:rsidRPr="003B76AC" w:rsidRDefault="000A78EF" w:rsidP="00DA0396">
            <w:pPr>
              <w:spacing w:after="0" w:line="240" w:lineRule="auto"/>
              <w:jc w:val="right"/>
              <w:rPr>
                <w:rFonts w:ascii="Calibri" w:eastAsia="Times New Roman" w:hAnsi="Calibri" w:cs="Times New Roman"/>
                <w:color w:val="000000"/>
                <w:lang w:eastAsia="ru-RU"/>
              </w:rPr>
            </w:pPr>
            <w:r w:rsidRPr="003B76AC">
              <w:rPr>
                <w:rFonts w:ascii="Calibri" w:eastAsia="Times New Roman" w:hAnsi="Calibri" w:cs="Times New Roman"/>
                <w:color w:val="000000"/>
                <w:lang w:eastAsia="ru-RU"/>
              </w:rPr>
              <w:t>2,467</w:t>
            </w:r>
          </w:p>
        </w:tc>
        <w:tc>
          <w:tcPr>
            <w:tcW w:w="1480" w:type="dxa"/>
            <w:tcBorders>
              <w:top w:val="nil"/>
              <w:left w:val="nil"/>
              <w:bottom w:val="single" w:sz="4" w:space="0" w:color="auto"/>
              <w:right w:val="single" w:sz="4" w:space="0" w:color="auto"/>
            </w:tcBorders>
            <w:shd w:val="clear" w:color="auto" w:fill="auto"/>
            <w:noWrap/>
            <w:vAlign w:val="bottom"/>
            <w:hideMark/>
          </w:tcPr>
          <w:p w:rsidR="000A78EF" w:rsidRPr="003B76AC" w:rsidRDefault="000A78EF" w:rsidP="00DA0396">
            <w:pPr>
              <w:spacing w:after="0" w:line="240" w:lineRule="auto"/>
              <w:rPr>
                <w:rFonts w:ascii="Calibri" w:eastAsia="Times New Roman" w:hAnsi="Calibri" w:cs="Times New Roman"/>
                <w:color w:val="000000"/>
                <w:lang w:eastAsia="ru-RU"/>
              </w:rPr>
            </w:pPr>
            <w:r w:rsidRPr="003B76AC">
              <w:rPr>
                <w:rFonts w:ascii="Calibri" w:eastAsia="Times New Roman" w:hAnsi="Calibri" w:cs="Times New Roman"/>
                <w:color w:val="000000"/>
                <w:lang w:eastAsia="ru-RU"/>
              </w:rPr>
              <w:t> </w:t>
            </w:r>
          </w:p>
        </w:tc>
      </w:tr>
      <w:tr w:rsidR="000A78EF" w:rsidRPr="003B76AC" w:rsidTr="00DA039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78EF" w:rsidRPr="003B76AC" w:rsidRDefault="000A78EF" w:rsidP="00DA0396">
            <w:pPr>
              <w:spacing w:after="0" w:line="240" w:lineRule="auto"/>
              <w:jc w:val="right"/>
              <w:rPr>
                <w:rFonts w:ascii="Calibri" w:eastAsia="Times New Roman" w:hAnsi="Calibri" w:cs="Times New Roman"/>
                <w:color w:val="000000"/>
                <w:lang w:eastAsia="ru-RU"/>
              </w:rPr>
            </w:pPr>
            <w:r w:rsidRPr="003B76AC">
              <w:rPr>
                <w:rFonts w:ascii="Calibri" w:eastAsia="Times New Roman" w:hAnsi="Calibri" w:cs="Times New Roman"/>
                <w:color w:val="000000"/>
                <w:lang w:eastAsia="ru-RU"/>
              </w:rPr>
              <w:t>2006</w:t>
            </w:r>
          </w:p>
        </w:tc>
        <w:tc>
          <w:tcPr>
            <w:tcW w:w="1260" w:type="dxa"/>
            <w:tcBorders>
              <w:top w:val="nil"/>
              <w:left w:val="nil"/>
              <w:bottom w:val="single" w:sz="4" w:space="0" w:color="auto"/>
              <w:right w:val="single" w:sz="4" w:space="0" w:color="auto"/>
            </w:tcBorders>
            <w:shd w:val="clear" w:color="auto" w:fill="auto"/>
            <w:noWrap/>
            <w:vAlign w:val="bottom"/>
            <w:hideMark/>
          </w:tcPr>
          <w:p w:rsidR="000A78EF" w:rsidRPr="003B76AC" w:rsidRDefault="000A78EF" w:rsidP="00DA0396">
            <w:pPr>
              <w:spacing w:after="0" w:line="240" w:lineRule="auto"/>
              <w:jc w:val="right"/>
              <w:rPr>
                <w:rFonts w:ascii="Calibri" w:eastAsia="Times New Roman" w:hAnsi="Calibri" w:cs="Times New Roman"/>
                <w:color w:val="000000"/>
                <w:lang w:eastAsia="ru-RU"/>
              </w:rPr>
            </w:pPr>
            <w:r w:rsidRPr="003B76AC">
              <w:rPr>
                <w:rFonts w:ascii="Calibri" w:eastAsia="Times New Roman" w:hAnsi="Calibri" w:cs="Times New Roman"/>
                <w:color w:val="000000"/>
                <w:lang w:eastAsia="ru-RU"/>
              </w:rPr>
              <w:t>-1,052</w:t>
            </w:r>
          </w:p>
        </w:tc>
        <w:tc>
          <w:tcPr>
            <w:tcW w:w="1480" w:type="dxa"/>
            <w:tcBorders>
              <w:top w:val="nil"/>
              <w:left w:val="nil"/>
              <w:bottom w:val="single" w:sz="4" w:space="0" w:color="auto"/>
              <w:right w:val="single" w:sz="4" w:space="0" w:color="auto"/>
            </w:tcBorders>
            <w:shd w:val="clear" w:color="auto" w:fill="auto"/>
            <w:noWrap/>
            <w:vAlign w:val="bottom"/>
            <w:hideMark/>
          </w:tcPr>
          <w:p w:rsidR="000A78EF" w:rsidRPr="003B76AC" w:rsidRDefault="000A78EF" w:rsidP="00DA0396">
            <w:pPr>
              <w:spacing w:after="0" w:line="240" w:lineRule="auto"/>
              <w:rPr>
                <w:rFonts w:ascii="Calibri" w:eastAsia="Times New Roman" w:hAnsi="Calibri" w:cs="Times New Roman"/>
                <w:color w:val="000000"/>
                <w:lang w:eastAsia="ru-RU"/>
              </w:rPr>
            </w:pPr>
            <w:r w:rsidRPr="003B76AC">
              <w:rPr>
                <w:rFonts w:ascii="Calibri" w:eastAsia="Times New Roman" w:hAnsi="Calibri" w:cs="Times New Roman"/>
                <w:color w:val="000000"/>
                <w:lang w:eastAsia="ru-RU"/>
              </w:rPr>
              <w:t> </w:t>
            </w:r>
          </w:p>
        </w:tc>
      </w:tr>
      <w:tr w:rsidR="000A78EF" w:rsidRPr="003B76AC" w:rsidTr="00DA039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78EF" w:rsidRPr="003B76AC" w:rsidRDefault="000A78EF" w:rsidP="00DA0396">
            <w:pPr>
              <w:spacing w:after="0" w:line="240" w:lineRule="auto"/>
              <w:jc w:val="right"/>
              <w:rPr>
                <w:rFonts w:ascii="Calibri" w:eastAsia="Times New Roman" w:hAnsi="Calibri" w:cs="Times New Roman"/>
                <w:color w:val="000000"/>
                <w:lang w:eastAsia="ru-RU"/>
              </w:rPr>
            </w:pPr>
            <w:r w:rsidRPr="003B76AC">
              <w:rPr>
                <w:rFonts w:ascii="Calibri" w:eastAsia="Times New Roman" w:hAnsi="Calibri" w:cs="Times New Roman"/>
                <w:color w:val="000000"/>
                <w:lang w:eastAsia="ru-RU"/>
              </w:rPr>
              <w:t>2007</w:t>
            </w:r>
          </w:p>
        </w:tc>
        <w:tc>
          <w:tcPr>
            <w:tcW w:w="1260" w:type="dxa"/>
            <w:tcBorders>
              <w:top w:val="nil"/>
              <w:left w:val="nil"/>
              <w:bottom w:val="single" w:sz="4" w:space="0" w:color="auto"/>
              <w:right w:val="single" w:sz="4" w:space="0" w:color="auto"/>
            </w:tcBorders>
            <w:shd w:val="clear" w:color="auto" w:fill="auto"/>
            <w:noWrap/>
            <w:vAlign w:val="bottom"/>
            <w:hideMark/>
          </w:tcPr>
          <w:p w:rsidR="000A78EF" w:rsidRPr="003B76AC" w:rsidRDefault="000A78EF" w:rsidP="00DA0396">
            <w:pPr>
              <w:spacing w:after="0" w:line="240" w:lineRule="auto"/>
              <w:jc w:val="right"/>
              <w:rPr>
                <w:rFonts w:ascii="Calibri" w:eastAsia="Times New Roman" w:hAnsi="Calibri" w:cs="Times New Roman"/>
                <w:color w:val="000000"/>
                <w:lang w:eastAsia="ru-RU"/>
              </w:rPr>
            </w:pPr>
            <w:r w:rsidRPr="003B76AC">
              <w:rPr>
                <w:rFonts w:ascii="Calibri" w:eastAsia="Times New Roman" w:hAnsi="Calibri" w:cs="Times New Roman"/>
                <w:color w:val="000000"/>
                <w:lang w:eastAsia="ru-RU"/>
              </w:rPr>
              <w:t>2,643</w:t>
            </w:r>
          </w:p>
        </w:tc>
        <w:tc>
          <w:tcPr>
            <w:tcW w:w="1480" w:type="dxa"/>
            <w:tcBorders>
              <w:top w:val="nil"/>
              <w:left w:val="nil"/>
              <w:bottom w:val="single" w:sz="4" w:space="0" w:color="auto"/>
              <w:right w:val="single" w:sz="4" w:space="0" w:color="auto"/>
            </w:tcBorders>
            <w:shd w:val="clear" w:color="auto" w:fill="auto"/>
            <w:noWrap/>
            <w:vAlign w:val="bottom"/>
            <w:hideMark/>
          </w:tcPr>
          <w:p w:rsidR="000A78EF" w:rsidRPr="003B76AC" w:rsidRDefault="000A78EF" w:rsidP="00DA0396">
            <w:pPr>
              <w:spacing w:after="0" w:line="240" w:lineRule="auto"/>
              <w:rPr>
                <w:rFonts w:ascii="Calibri" w:eastAsia="Times New Roman" w:hAnsi="Calibri" w:cs="Times New Roman"/>
                <w:color w:val="000000"/>
                <w:lang w:eastAsia="ru-RU"/>
              </w:rPr>
            </w:pPr>
            <w:r w:rsidRPr="003B76AC">
              <w:rPr>
                <w:rFonts w:ascii="Calibri" w:eastAsia="Times New Roman" w:hAnsi="Calibri" w:cs="Times New Roman"/>
                <w:color w:val="000000"/>
                <w:lang w:eastAsia="ru-RU"/>
              </w:rPr>
              <w:t> </w:t>
            </w:r>
          </w:p>
        </w:tc>
      </w:tr>
      <w:tr w:rsidR="000A78EF" w:rsidRPr="003B76AC" w:rsidTr="00DA039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78EF" w:rsidRPr="003B76AC" w:rsidRDefault="000A78EF" w:rsidP="00DA0396">
            <w:pPr>
              <w:spacing w:after="0" w:line="240" w:lineRule="auto"/>
              <w:jc w:val="right"/>
              <w:rPr>
                <w:rFonts w:ascii="Calibri" w:eastAsia="Times New Roman" w:hAnsi="Calibri" w:cs="Times New Roman"/>
                <w:color w:val="000000"/>
                <w:lang w:eastAsia="ru-RU"/>
              </w:rPr>
            </w:pPr>
            <w:r w:rsidRPr="003B76AC">
              <w:rPr>
                <w:rFonts w:ascii="Calibri" w:eastAsia="Times New Roman" w:hAnsi="Calibri" w:cs="Times New Roman"/>
                <w:color w:val="000000"/>
                <w:lang w:eastAsia="ru-RU"/>
              </w:rPr>
              <w:t>2008</w:t>
            </w:r>
          </w:p>
        </w:tc>
        <w:tc>
          <w:tcPr>
            <w:tcW w:w="1260" w:type="dxa"/>
            <w:tcBorders>
              <w:top w:val="nil"/>
              <w:left w:val="nil"/>
              <w:bottom w:val="single" w:sz="4" w:space="0" w:color="auto"/>
              <w:right w:val="single" w:sz="4" w:space="0" w:color="auto"/>
            </w:tcBorders>
            <w:shd w:val="clear" w:color="auto" w:fill="auto"/>
            <w:noWrap/>
            <w:vAlign w:val="bottom"/>
            <w:hideMark/>
          </w:tcPr>
          <w:p w:rsidR="000A78EF" w:rsidRPr="003B76AC" w:rsidRDefault="000A78EF" w:rsidP="00DA0396">
            <w:pPr>
              <w:spacing w:after="0" w:line="240" w:lineRule="auto"/>
              <w:jc w:val="right"/>
              <w:rPr>
                <w:rFonts w:ascii="Calibri" w:eastAsia="Times New Roman" w:hAnsi="Calibri" w:cs="Times New Roman"/>
                <w:color w:val="000000"/>
                <w:lang w:eastAsia="ru-RU"/>
              </w:rPr>
            </w:pPr>
            <w:r w:rsidRPr="003B76AC">
              <w:rPr>
                <w:rFonts w:ascii="Calibri" w:eastAsia="Times New Roman" w:hAnsi="Calibri" w:cs="Times New Roman"/>
                <w:color w:val="000000"/>
                <w:lang w:eastAsia="ru-RU"/>
              </w:rPr>
              <w:t>2,346</w:t>
            </w:r>
          </w:p>
        </w:tc>
        <w:tc>
          <w:tcPr>
            <w:tcW w:w="1480" w:type="dxa"/>
            <w:tcBorders>
              <w:top w:val="nil"/>
              <w:left w:val="nil"/>
              <w:bottom w:val="single" w:sz="4" w:space="0" w:color="auto"/>
              <w:right w:val="single" w:sz="4" w:space="0" w:color="auto"/>
            </w:tcBorders>
            <w:shd w:val="clear" w:color="auto" w:fill="auto"/>
            <w:noWrap/>
            <w:vAlign w:val="bottom"/>
            <w:hideMark/>
          </w:tcPr>
          <w:p w:rsidR="000A78EF" w:rsidRPr="003B76AC" w:rsidRDefault="000A78EF" w:rsidP="00DA0396">
            <w:pPr>
              <w:spacing w:after="0" w:line="240" w:lineRule="auto"/>
              <w:rPr>
                <w:rFonts w:ascii="Calibri" w:eastAsia="Times New Roman" w:hAnsi="Calibri" w:cs="Times New Roman"/>
                <w:color w:val="000000"/>
                <w:lang w:eastAsia="ru-RU"/>
              </w:rPr>
            </w:pPr>
            <w:r w:rsidRPr="003B76AC">
              <w:rPr>
                <w:rFonts w:ascii="Calibri" w:eastAsia="Times New Roman" w:hAnsi="Calibri" w:cs="Times New Roman"/>
                <w:color w:val="000000"/>
                <w:lang w:eastAsia="ru-RU"/>
              </w:rPr>
              <w:t> </w:t>
            </w:r>
          </w:p>
        </w:tc>
      </w:tr>
      <w:tr w:rsidR="000A78EF" w:rsidRPr="003B76AC" w:rsidTr="00DA039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78EF" w:rsidRPr="003B76AC" w:rsidRDefault="000A78EF" w:rsidP="00DA0396">
            <w:pPr>
              <w:spacing w:after="0" w:line="240" w:lineRule="auto"/>
              <w:jc w:val="right"/>
              <w:rPr>
                <w:rFonts w:ascii="Calibri" w:eastAsia="Times New Roman" w:hAnsi="Calibri" w:cs="Times New Roman"/>
                <w:color w:val="000000"/>
                <w:lang w:eastAsia="ru-RU"/>
              </w:rPr>
            </w:pPr>
            <w:r w:rsidRPr="003B76AC">
              <w:rPr>
                <w:rFonts w:ascii="Calibri" w:eastAsia="Times New Roman" w:hAnsi="Calibri" w:cs="Times New Roman"/>
                <w:color w:val="000000"/>
                <w:lang w:eastAsia="ru-RU"/>
              </w:rPr>
              <w:t>2009</w:t>
            </w:r>
          </w:p>
        </w:tc>
        <w:tc>
          <w:tcPr>
            <w:tcW w:w="1260" w:type="dxa"/>
            <w:tcBorders>
              <w:top w:val="nil"/>
              <w:left w:val="nil"/>
              <w:bottom w:val="single" w:sz="4" w:space="0" w:color="auto"/>
              <w:right w:val="single" w:sz="4" w:space="0" w:color="auto"/>
            </w:tcBorders>
            <w:shd w:val="clear" w:color="auto" w:fill="auto"/>
            <w:noWrap/>
            <w:vAlign w:val="bottom"/>
            <w:hideMark/>
          </w:tcPr>
          <w:p w:rsidR="000A78EF" w:rsidRPr="003B76AC" w:rsidRDefault="000A78EF" w:rsidP="00DA0396">
            <w:pPr>
              <w:spacing w:after="0" w:line="240" w:lineRule="auto"/>
              <w:jc w:val="right"/>
              <w:rPr>
                <w:rFonts w:ascii="Calibri" w:eastAsia="Times New Roman" w:hAnsi="Calibri" w:cs="Times New Roman"/>
                <w:color w:val="000000"/>
                <w:lang w:eastAsia="ru-RU"/>
              </w:rPr>
            </w:pPr>
            <w:r w:rsidRPr="003B76AC">
              <w:rPr>
                <w:rFonts w:ascii="Calibri" w:eastAsia="Times New Roman" w:hAnsi="Calibri" w:cs="Times New Roman"/>
                <w:color w:val="000000"/>
                <w:lang w:eastAsia="ru-RU"/>
              </w:rPr>
              <w:t>-0,448</w:t>
            </w:r>
          </w:p>
        </w:tc>
        <w:tc>
          <w:tcPr>
            <w:tcW w:w="1480" w:type="dxa"/>
            <w:tcBorders>
              <w:top w:val="nil"/>
              <w:left w:val="nil"/>
              <w:bottom w:val="single" w:sz="4" w:space="0" w:color="auto"/>
              <w:right w:val="single" w:sz="4" w:space="0" w:color="auto"/>
            </w:tcBorders>
            <w:shd w:val="clear" w:color="auto" w:fill="auto"/>
            <w:noWrap/>
            <w:vAlign w:val="bottom"/>
            <w:hideMark/>
          </w:tcPr>
          <w:p w:rsidR="000A78EF" w:rsidRPr="003B76AC" w:rsidRDefault="000A78EF" w:rsidP="00DA0396">
            <w:pPr>
              <w:spacing w:after="0" w:line="240" w:lineRule="auto"/>
              <w:rPr>
                <w:rFonts w:ascii="Calibri" w:eastAsia="Times New Roman" w:hAnsi="Calibri" w:cs="Times New Roman"/>
                <w:color w:val="000000"/>
                <w:lang w:eastAsia="ru-RU"/>
              </w:rPr>
            </w:pPr>
            <w:r w:rsidRPr="003B76AC">
              <w:rPr>
                <w:rFonts w:ascii="Calibri" w:eastAsia="Times New Roman" w:hAnsi="Calibri" w:cs="Times New Roman"/>
                <w:color w:val="000000"/>
                <w:lang w:eastAsia="ru-RU"/>
              </w:rPr>
              <w:t> </w:t>
            </w:r>
          </w:p>
        </w:tc>
      </w:tr>
      <w:tr w:rsidR="000A78EF" w:rsidRPr="003B76AC" w:rsidTr="00DA039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A78EF" w:rsidRPr="003B76AC" w:rsidRDefault="000A78EF" w:rsidP="00DA0396">
            <w:pPr>
              <w:spacing w:after="0" w:line="240" w:lineRule="auto"/>
              <w:jc w:val="right"/>
              <w:rPr>
                <w:rFonts w:ascii="Calibri" w:eastAsia="Times New Roman" w:hAnsi="Calibri" w:cs="Times New Roman"/>
                <w:color w:val="000000"/>
                <w:lang w:eastAsia="ru-RU"/>
              </w:rPr>
            </w:pPr>
            <w:r w:rsidRPr="003B76AC">
              <w:rPr>
                <w:rFonts w:ascii="Calibri" w:eastAsia="Times New Roman" w:hAnsi="Calibri" w:cs="Times New Roman"/>
                <w:color w:val="000000"/>
                <w:lang w:eastAsia="ru-RU"/>
              </w:rPr>
              <w:t>2010</w:t>
            </w:r>
          </w:p>
        </w:tc>
        <w:tc>
          <w:tcPr>
            <w:tcW w:w="1260" w:type="dxa"/>
            <w:tcBorders>
              <w:top w:val="nil"/>
              <w:left w:val="nil"/>
              <w:bottom w:val="single" w:sz="4" w:space="0" w:color="auto"/>
              <w:right w:val="single" w:sz="4" w:space="0" w:color="auto"/>
            </w:tcBorders>
            <w:shd w:val="clear" w:color="auto" w:fill="auto"/>
            <w:noWrap/>
            <w:vAlign w:val="bottom"/>
            <w:hideMark/>
          </w:tcPr>
          <w:p w:rsidR="000A78EF" w:rsidRPr="003B76AC" w:rsidRDefault="000A78EF" w:rsidP="00DA0396">
            <w:pPr>
              <w:spacing w:after="0" w:line="240" w:lineRule="auto"/>
              <w:jc w:val="right"/>
              <w:rPr>
                <w:rFonts w:ascii="Calibri" w:eastAsia="Times New Roman" w:hAnsi="Calibri" w:cs="Times New Roman"/>
                <w:color w:val="000000"/>
                <w:lang w:eastAsia="ru-RU"/>
              </w:rPr>
            </w:pPr>
            <w:r w:rsidRPr="003B76AC">
              <w:rPr>
                <w:rFonts w:ascii="Calibri" w:eastAsia="Times New Roman" w:hAnsi="Calibri" w:cs="Times New Roman"/>
                <w:color w:val="000000"/>
                <w:lang w:eastAsia="ru-RU"/>
              </w:rPr>
              <w:t>-1,065</w:t>
            </w:r>
          </w:p>
        </w:tc>
        <w:tc>
          <w:tcPr>
            <w:tcW w:w="1480" w:type="dxa"/>
            <w:tcBorders>
              <w:top w:val="nil"/>
              <w:left w:val="nil"/>
              <w:bottom w:val="single" w:sz="4" w:space="0" w:color="auto"/>
              <w:right w:val="single" w:sz="4" w:space="0" w:color="auto"/>
            </w:tcBorders>
            <w:shd w:val="clear" w:color="auto" w:fill="auto"/>
            <w:noWrap/>
            <w:vAlign w:val="bottom"/>
            <w:hideMark/>
          </w:tcPr>
          <w:p w:rsidR="000A78EF" w:rsidRPr="003B76AC" w:rsidRDefault="000A78EF" w:rsidP="00DA0396">
            <w:pPr>
              <w:spacing w:after="0" w:line="240" w:lineRule="auto"/>
              <w:rPr>
                <w:rFonts w:ascii="Calibri" w:eastAsia="Times New Roman" w:hAnsi="Calibri" w:cs="Times New Roman"/>
                <w:color w:val="000000"/>
                <w:lang w:eastAsia="ru-RU"/>
              </w:rPr>
            </w:pPr>
            <w:r w:rsidRPr="003B76AC">
              <w:rPr>
                <w:rFonts w:ascii="Calibri" w:eastAsia="Times New Roman" w:hAnsi="Calibri" w:cs="Times New Roman"/>
                <w:color w:val="000000"/>
                <w:lang w:eastAsia="ru-RU"/>
              </w:rPr>
              <w:t> </w:t>
            </w:r>
          </w:p>
        </w:tc>
      </w:tr>
    </w:tbl>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r>
        <w:fldChar w:fldCharType="begin"/>
      </w:r>
      <w:r>
        <w:instrText xml:space="preserve"> LINK Excel.Sheet.12 "E:\\Накопленная по годам.xlsx" "Лист1!R3C2:R12C4" \a \f 4 \h  \* MERGEFORMAT </w:instrText>
      </w:r>
      <w:r>
        <w:fldChar w:fldCharType="separate"/>
      </w:r>
    </w:p>
    <w:p w:rsidR="000A78EF" w:rsidRDefault="000A78EF" w:rsidP="000A78EF">
      <w:pPr>
        <w:rPr>
          <w:rFonts w:ascii="Times New Roman" w:hAnsi="Times New Roman" w:cs="Times New Roman"/>
          <w:sz w:val="28"/>
          <w:szCs w:val="28"/>
        </w:rPr>
      </w:pPr>
      <w:r>
        <w:rPr>
          <w:rFonts w:ascii="Times New Roman" w:hAnsi="Times New Roman" w:cs="Times New Roman"/>
          <w:sz w:val="28"/>
          <w:szCs w:val="28"/>
        </w:rPr>
        <w:fldChar w:fldCharType="end"/>
      </w: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6848" behindDoc="0" locked="0" layoutInCell="1" allowOverlap="1" wp14:anchorId="18BAF53F" wp14:editId="575F1E9E">
                <wp:simplePos x="0" y="0"/>
                <wp:positionH relativeFrom="column">
                  <wp:posOffset>80645</wp:posOffset>
                </wp:positionH>
                <wp:positionV relativeFrom="paragraph">
                  <wp:posOffset>431800</wp:posOffset>
                </wp:positionV>
                <wp:extent cx="4024630" cy="200025"/>
                <wp:effectExtent l="0" t="0" r="0" b="9525"/>
                <wp:wrapTight wrapText="bothSides">
                  <wp:wrapPolygon edited="0">
                    <wp:start x="0" y="0"/>
                    <wp:lineTo x="0" y="20571"/>
                    <wp:lineTo x="21470" y="20571"/>
                    <wp:lineTo x="21470" y="0"/>
                    <wp:lineTo x="0" y="0"/>
                  </wp:wrapPolygon>
                </wp:wrapTight>
                <wp:docPr id="1068" name="Поле 1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C052EA" w:rsidRDefault="00DA0396" w:rsidP="000A78EF">
                            <w:pPr>
                              <w:pStyle w:val="aa"/>
                              <w:jc w:val="right"/>
                              <w:rPr>
                                <w:rFonts w:ascii="Times New Roman" w:hAnsi="Times New Roman"/>
                                <w:noProof/>
                                <w:color w:val="000000" w:themeColor="text1"/>
                                <w:sz w:val="20"/>
                                <w:szCs w:val="20"/>
                              </w:rPr>
                            </w:pPr>
                            <w:r>
                              <w:rPr>
                                <w:rFonts w:ascii="Times New Roman" w:hAnsi="Times New Roman"/>
                                <w:color w:val="000000" w:themeColor="text1"/>
                                <w:sz w:val="20"/>
                                <w:szCs w:val="20"/>
                              </w:rPr>
                              <w:t>Источник: собственные расчеты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68" o:spid="_x0000_s1069" type="#_x0000_t202" style="position:absolute;margin-left:6.35pt;margin-top:34pt;width:316.9pt;height:1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" stroked="f">
                <v:textbox inset="0,0,0,0">
                  <w:txbxContent>
                    <w:p w:rsidR="00DA0396" w:rsidRPr="00C052EA" w:rsidRDefault="00DA0396" w:rsidP="000A78EF">
                      <w:pPr>
                        <w:pStyle w:val="aa"/>
                        <w:jc w:val="right"/>
                        <w:rPr>
                          <w:rFonts w:ascii="Times New Roman" w:hAnsi="Times New Roman"/>
                          <w:noProof/>
                          <w:color w:val="000000" w:themeColor="text1"/>
                          <w:sz w:val="20"/>
                          <w:szCs w:val="20"/>
                        </w:rPr>
                      </w:pPr>
                      <w:r>
                        <w:rPr>
                          <w:rFonts w:ascii="Times New Roman" w:hAnsi="Times New Roman"/>
                          <w:color w:val="000000" w:themeColor="text1"/>
                          <w:sz w:val="20"/>
                          <w:szCs w:val="20"/>
                        </w:rPr>
                        <w:t>Источник: собственные расчеты</w:t>
                      </w:r>
                    </w:p>
                  </w:txbxContent>
                </v:textbox>
                <w10:wrap type="tight"/>
              </v:shape>
            </w:pict>
          </mc:Fallback>
        </mc:AlternateContent>
      </w:r>
    </w:p>
    <w:p w:rsidR="000A78EF" w:rsidRDefault="000A78EF" w:rsidP="000A78EF">
      <w:pPr>
        <w:rPr>
          <w:rFonts w:ascii="Times New Roman" w:hAnsi="Times New Roman" w:cs="Times New Roman"/>
          <w:sz w:val="28"/>
          <w:szCs w:val="28"/>
        </w:rPr>
      </w:pPr>
      <w:r>
        <w:rPr>
          <w:noProof/>
          <w:lang w:eastAsia="ru-RU"/>
        </w:rPr>
        <w:lastRenderedPageBreak/>
        <w:drawing>
          <wp:anchor distT="0" distB="0" distL="114300" distR="114300" simplePos="0" relativeHeight="251728896" behindDoc="0" locked="0" layoutInCell="1" allowOverlap="1" wp14:anchorId="77267E18" wp14:editId="1AC051BC">
            <wp:simplePos x="0" y="0"/>
            <wp:positionH relativeFrom="column">
              <wp:posOffset>-43815</wp:posOffset>
            </wp:positionH>
            <wp:positionV relativeFrom="paragraph">
              <wp:posOffset>529590</wp:posOffset>
            </wp:positionV>
            <wp:extent cx="5940425" cy="3138805"/>
            <wp:effectExtent l="0" t="0" r="3175" b="4445"/>
            <wp:wrapTopAndBottom/>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0425" cy="3138805"/>
                    </a:xfrm>
                    <a:prstGeom prst="rect">
                      <a:avLst/>
                    </a:prstGeom>
                    <a:noFill/>
                    <a:ln w="1">
                      <a:noFill/>
                      <a:miter lim="800000"/>
                      <a:headEnd/>
                      <a:tailEnd type="none" w="med" len="med"/>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mc:AlternateContent>
          <mc:Choice Requires="wps">
            <w:drawing>
              <wp:anchor distT="0" distB="0" distL="114300" distR="114300" simplePos="0" relativeHeight="251727872" behindDoc="0" locked="0" layoutInCell="1" allowOverlap="1" wp14:anchorId="5F0C6C3E" wp14:editId="7AA16348">
                <wp:simplePos x="0" y="0"/>
                <wp:positionH relativeFrom="column">
                  <wp:posOffset>1035685</wp:posOffset>
                </wp:positionH>
                <wp:positionV relativeFrom="paragraph">
                  <wp:posOffset>13335</wp:posOffset>
                </wp:positionV>
                <wp:extent cx="3856355" cy="361950"/>
                <wp:effectExtent l="0" t="0" r="0" b="0"/>
                <wp:wrapTight wrapText="bothSides">
                  <wp:wrapPolygon edited="0">
                    <wp:start x="0" y="0"/>
                    <wp:lineTo x="0" y="20463"/>
                    <wp:lineTo x="21447" y="20463"/>
                    <wp:lineTo x="21447" y="0"/>
                    <wp:lineTo x="0" y="0"/>
                  </wp:wrapPolygon>
                </wp:wrapTight>
                <wp:docPr id="1069" name="Поле 1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35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1A44A1" w:rsidRDefault="00DA0396" w:rsidP="000A78EF">
                            <w:pPr>
                              <w:pStyle w:val="aa"/>
                              <w:jc w:val="center"/>
                              <w:rPr>
                                <w:rFonts w:ascii="Times New Roman" w:hAnsi="Times New Roman"/>
                                <w:noProof/>
                                <w:color w:val="000000" w:themeColor="text1"/>
                                <w:sz w:val="24"/>
                                <w:szCs w:val="24"/>
                              </w:rPr>
                            </w:pPr>
                            <w:r>
                              <w:rPr>
                                <w:rFonts w:ascii="Times New Roman" w:hAnsi="Times New Roman"/>
                                <w:color w:val="000000" w:themeColor="text1"/>
                                <w:sz w:val="24"/>
                                <w:szCs w:val="24"/>
                              </w:rPr>
                              <w:t>График 12: Усредненные интервалы предпочтений неэффективности рынка в США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69" o:spid="_x0000_s1070" type="#_x0000_t202" style="position:absolute;margin-left:81.55pt;margin-top:1.05pt;width:303.65pt;height:2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" stroked="f">
                <v:textbox inset="0,0,0,0">
                  <w:txbxContent>
                    <w:p w:rsidR="00DA0396" w:rsidRPr="001A44A1" w:rsidRDefault="00DA0396" w:rsidP="000A78EF">
                      <w:pPr>
                        <w:pStyle w:val="aa"/>
                        <w:jc w:val="center"/>
                        <w:rPr>
                          <w:rFonts w:ascii="Times New Roman" w:hAnsi="Times New Roman"/>
                          <w:noProof/>
                          <w:color w:val="000000" w:themeColor="text1"/>
                          <w:sz w:val="24"/>
                          <w:szCs w:val="24"/>
                        </w:rPr>
                      </w:pPr>
                      <w:r>
                        <w:rPr>
                          <w:rFonts w:ascii="Times New Roman" w:hAnsi="Times New Roman"/>
                          <w:color w:val="000000" w:themeColor="text1"/>
                          <w:sz w:val="24"/>
                          <w:szCs w:val="24"/>
                        </w:rPr>
                        <w:t>График 12: Усредненные интервалы предпочтений неэффективности рынка в США</w:t>
                      </w:r>
                    </w:p>
                  </w:txbxContent>
                </v:textbox>
                <w10:wrap type="tight"/>
              </v:shape>
            </w:pict>
          </mc:Fallback>
        </mc:AlternateContent>
      </w:r>
    </w:p>
    <w:p w:rsidR="000A78EF" w:rsidRDefault="000A78EF" w:rsidP="000A78EF">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9920" behindDoc="0" locked="0" layoutInCell="1" allowOverlap="1" wp14:anchorId="1C6ABC6A" wp14:editId="45CB00B4">
                <wp:simplePos x="0" y="0"/>
                <wp:positionH relativeFrom="column">
                  <wp:posOffset>505460</wp:posOffset>
                </wp:positionH>
                <wp:positionV relativeFrom="paragraph">
                  <wp:posOffset>3378200</wp:posOffset>
                </wp:positionV>
                <wp:extent cx="5219700" cy="419100"/>
                <wp:effectExtent l="0" t="0" r="0" b="0"/>
                <wp:wrapTopAndBottom/>
                <wp:docPr id="1070" name="Поле 1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20327F" w:rsidRDefault="00DA0396" w:rsidP="000A78EF">
                            <w:pPr>
                              <w:pStyle w:val="aa"/>
                              <w:jc w:val="right"/>
                              <w:rPr>
                                <w:rFonts w:ascii="Times New Roman" w:hAnsi="Times New Roman"/>
                                <w:noProof/>
                                <w:color w:val="000000" w:themeColor="text1"/>
                                <w:sz w:val="20"/>
                                <w:szCs w:val="20"/>
                              </w:rPr>
                            </w:pPr>
                            <w:r w:rsidRPr="0020327F">
                              <w:rPr>
                                <w:rFonts w:ascii="Times New Roman" w:hAnsi="Times New Roman"/>
                                <w:color w:val="000000" w:themeColor="text1"/>
                                <w:sz w:val="20"/>
                                <w:szCs w:val="20"/>
                              </w:rPr>
                              <w:t>Источник:</w:t>
                            </w:r>
                            <w:r>
                              <w:rPr>
                                <w:rFonts w:ascii="Times New Roman" w:hAnsi="Times New Roman"/>
                                <w:color w:val="000000" w:themeColor="text1"/>
                                <w:sz w:val="20"/>
                                <w:szCs w:val="20"/>
                              </w:rPr>
                              <w:t xml:space="preserve"> </w:t>
                            </w:r>
                            <w:r w:rsidRPr="0020327F">
                              <w:rPr>
                                <w:rFonts w:ascii="Times New Roman" w:hAnsi="Times New Roman"/>
                                <w:color w:val="000000" w:themeColor="text1"/>
                                <w:sz w:val="20"/>
                                <w:szCs w:val="20"/>
                              </w:rPr>
                              <w:t xml:space="preserve">Ильин Е.В. </w:t>
                            </w:r>
                            <w:r w:rsidRPr="00B4534F">
                              <w:rPr>
                                <w:rFonts w:ascii="Times New Roman" w:hAnsi="Times New Roman"/>
                                <w:color w:val="000000" w:themeColor="text1"/>
                                <w:sz w:val="20"/>
                                <w:szCs w:val="20"/>
                              </w:rPr>
                              <w:t>Конфликт интересов в саморегулируемых организациях США и неэффективность финансового рынка. Экономический журнал ВШЭ. 2012. Стр. 276.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070" o:spid="_x0000_s1071" type="#_x0000_t202" style="position:absolute;margin-left:39.8pt;margin-top:266pt;width:411pt;height:3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" stroked="f">
                <v:textbox style="mso-fit-shape-to-text:t" inset="0,0,0,0">
                  <w:txbxContent>
                    <w:p w:rsidR="00DA0396" w:rsidRPr="0020327F" w:rsidRDefault="00DA0396" w:rsidP="000A78EF">
                      <w:pPr>
                        <w:pStyle w:val="aa"/>
                        <w:jc w:val="right"/>
                        <w:rPr>
                          <w:rFonts w:ascii="Times New Roman" w:hAnsi="Times New Roman"/>
                          <w:noProof/>
                          <w:color w:val="000000" w:themeColor="text1"/>
                          <w:sz w:val="20"/>
                          <w:szCs w:val="20"/>
                        </w:rPr>
                      </w:pPr>
                      <w:r w:rsidRPr="0020327F">
                        <w:rPr>
                          <w:rFonts w:ascii="Times New Roman" w:hAnsi="Times New Roman"/>
                          <w:color w:val="000000" w:themeColor="text1"/>
                          <w:sz w:val="20"/>
                          <w:szCs w:val="20"/>
                        </w:rPr>
                        <w:t>Источник:</w:t>
                      </w:r>
                      <w:r>
                        <w:rPr>
                          <w:rFonts w:ascii="Times New Roman" w:hAnsi="Times New Roman"/>
                          <w:color w:val="000000" w:themeColor="text1"/>
                          <w:sz w:val="20"/>
                          <w:szCs w:val="20"/>
                        </w:rPr>
                        <w:t xml:space="preserve"> </w:t>
                      </w:r>
                      <w:r w:rsidRPr="0020327F">
                        <w:rPr>
                          <w:rFonts w:ascii="Times New Roman" w:hAnsi="Times New Roman"/>
                          <w:color w:val="000000" w:themeColor="text1"/>
                          <w:sz w:val="20"/>
                          <w:szCs w:val="20"/>
                        </w:rPr>
                        <w:t xml:space="preserve">Ильин Е.В. </w:t>
                      </w:r>
                      <w:r w:rsidRPr="00B4534F">
                        <w:rPr>
                          <w:rFonts w:ascii="Times New Roman" w:hAnsi="Times New Roman"/>
                          <w:color w:val="000000" w:themeColor="text1"/>
                          <w:sz w:val="20"/>
                          <w:szCs w:val="20"/>
                        </w:rPr>
                        <w:t>Конфликт интересов в саморегулируемых организациях США и неэффективность финансового рынка. Экономический журнал ВШЭ. 2012. Стр. 276.</w:t>
                      </w:r>
                    </w:p>
                  </w:txbxContent>
                </v:textbox>
                <w10:wrap type="topAndBottom"/>
              </v:shape>
            </w:pict>
          </mc:Fallback>
        </mc:AlternateContent>
      </w:r>
    </w:p>
    <w:p w:rsidR="000A78EF" w:rsidRDefault="000A78EF" w:rsidP="000A78EF">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30944" behindDoc="0" locked="0" layoutInCell="1" allowOverlap="1" wp14:anchorId="17E6DD33" wp14:editId="0EC09EE9">
                <wp:simplePos x="0" y="0"/>
                <wp:positionH relativeFrom="column">
                  <wp:posOffset>902970</wp:posOffset>
                </wp:positionH>
                <wp:positionV relativeFrom="paragraph">
                  <wp:posOffset>356870</wp:posOffset>
                </wp:positionV>
                <wp:extent cx="4514850" cy="361950"/>
                <wp:effectExtent l="0" t="0" r="0" b="0"/>
                <wp:wrapTight wrapText="bothSides">
                  <wp:wrapPolygon edited="0">
                    <wp:start x="0" y="0"/>
                    <wp:lineTo x="0" y="20463"/>
                    <wp:lineTo x="21509" y="20463"/>
                    <wp:lineTo x="21509" y="0"/>
                    <wp:lineTo x="0" y="0"/>
                  </wp:wrapPolygon>
                </wp:wrapTight>
                <wp:docPr id="1071" name="Поле 1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1A44A1" w:rsidRDefault="00DA0396" w:rsidP="000A78EF">
                            <w:pPr>
                              <w:pStyle w:val="aa"/>
                              <w:jc w:val="center"/>
                              <w:rPr>
                                <w:rFonts w:ascii="Times New Roman" w:hAnsi="Times New Roman"/>
                                <w:noProof/>
                                <w:color w:val="000000" w:themeColor="text1"/>
                                <w:sz w:val="24"/>
                                <w:szCs w:val="24"/>
                              </w:rPr>
                            </w:pPr>
                            <w:r>
                              <w:rPr>
                                <w:rFonts w:ascii="Times New Roman" w:hAnsi="Times New Roman"/>
                                <w:color w:val="000000" w:themeColor="text1"/>
                                <w:sz w:val="24"/>
                                <w:szCs w:val="24"/>
                              </w:rPr>
                              <w:t>График 13: Удаленность верхних границ от локального максимума в США и Австралии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71" o:spid="_x0000_s1072" type="#_x0000_t202" style="position:absolute;margin-left:71.1pt;margin-top:28.1pt;width:355.5pt;height:2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" stroked="f">
                <v:textbox inset="0,0,0,0">
                  <w:txbxContent>
                    <w:p w:rsidR="00DA0396" w:rsidRPr="001A44A1" w:rsidRDefault="00DA0396" w:rsidP="000A78EF">
                      <w:pPr>
                        <w:pStyle w:val="aa"/>
                        <w:jc w:val="center"/>
                        <w:rPr>
                          <w:rFonts w:ascii="Times New Roman" w:hAnsi="Times New Roman"/>
                          <w:noProof/>
                          <w:color w:val="000000" w:themeColor="text1"/>
                          <w:sz w:val="24"/>
                          <w:szCs w:val="24"/>
                        </w:rPr>
                      </w:pPr>
                      <w:r>
                        <w:rPr>
                          <w:rFonts w:ascii="Times New Roman" w:hAnsi="Times New Roman"/>
                          <w:color w:val="000000" w:themeColor="text1"/>
                          <w:sz w:val="24"/>
                          <w:szCs w:val="24"/>
                        </w:rPr>
                        <w:t>График 13: Удаленность верхних границ от локального максимума в США и Австралии</w:t>
                      </w:r>
                    </w:p>
                  </w:txbxContent>
                </v:textbox>
                <w10:wrap type="tight"/>
              </v:shape>
            </w:pict>
          </mc:Fallback>
        </mc:AlternateContent>
      </w: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r>
        <w:rPr>
          <w:rFonts w:ascii="Times New Roman" w:eastAsiaTheme="minorEastAsia" w:hAnsi="Times New Roman" w:cs="Times New Roman"/>
          <w:noProof/>
          <w:sz w:val="28"/>
          <w:szCs w:val="28"/>
          <w:lang w:eastAsia="ru-RU"/>
        </w:rPr>
        <w:drawing>
          <wp:anchor distT="0" distB="0" distL="114300" distR="114300" simplePos="0" relativeHeight="251731968" behindDoc="1" locked="0" layoutInCell="1" allowOverlap="1" wp14:anchorId="0E9CF8A9" wp14:editId="36FC1EB9">
            <wp:simplePos x="0" y="0"/>
            <wp:positionH relativeFrom="column">
              <wp:posOffset>897890</wp:posOffset>
            </wp:positionH>
            <wp:positionV relativeFrom="paragraph">
              <wp:posOffset>154940</wp:posOffset>
            </wp:positionV>
            <wp:extent cx="4584700" cy="2755900"/>
            <wp:effectExtent l="0" t="0" r="6350" b="6350"/>
            <wp:wrapTight wrapText="bothSides">
              <wp:wrapPolygon edited="0">
                <wp:start x="0" y="0"/>
                <wp:lineTo x="0" y="21500"/>
                <wp:lineTo x="21540" y="21500"/>
                <wp:lineTo x="21540" y="0"/>
                <wp:lineTo x="0" y="0"/>
              </wp:wrapPolygon>
            </wp:wrapTight>
            <wp:docPr id="1078" name="Рисунок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14:sizeRelH relativeFrom="page">
              <wp14:pctWidth>0</wp14:pctWidth>
            </wp14:sizeRelH>
            <wp14:sizeRelV relativeFrom="page">
              <wp14:pctHeight>0</wp14:pctHeight>
            </wp14:sizeRelV>
          </wp:anchor>
        </w:drawing>
      </w: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32992" behindDoc="0" locked="0" layoutInCell="1" allowOverlap="1" wp14:anchorId="013362F2" wp14:editId="2B67992F">
                <wp:simplePos x="0" y="0"/>
                <wp:positionH relativeFrom="column">
                  <wp:posOffset>972185</wp:posOffset>
                </wp:positionH>
                <wp:positionV relativeFrom="paragraph">
                  <wp:posOffset>78105</wp:posOffset>
                </wp:positionV>
                <wp:extent cx="4514850" cy="200025"/>
                <wp:effectExtent l="0" t="0" r="0" b="9525"/>
                <wp:wrapTight wrapText="bothSides">
                  <wp:wrapPolygon edited="0">
                    <wp:start x="0" y="0"/>
                    <wp:lineTo x="0" y="20571"/>
                    <wp:lineTo x="21509" y="20571"/>
                    <wp:lineTo x="21509" y="0"/>
                    <wp:lineTo x="0" y="0"/>
                  </wp:wrapPolygon>
                </wp:wrapTight>
                <wp:docPr id="1072" name="Поле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1A44A1" w:rsidRDefault="00DA0396" w:rsidP="000A78EF">
                            <w:pPr>
                              <w:pStyle w:val="aa"/>
                              <w:jc w:val="right"/>
                              <w:rPr>
                                <w:rFonts w:ascii="Times New Roman" w:hAnsi="Times New Roman"/>
                                <w:noProof/>
                                <w:color w:val="000000" w:themeColor="text1"/>
                                <w:sz w:val="24"/>
                                <w:szCs w:val="24"/>
                              </w:rPr>
                            </w:pPr>
                            <w:r>
                              <w:rPr>
                                <w:rFonts w:ascii="Times New Roman" w:hAnsi="Times New Roman"/>
                                <w:color w:val="000000" w:themeColor="text1"/>
                                <w:sz w:val="24"/>
                                <w:szCs w:val="24"/>
                              </w:rPr>
                              <w:t>Источник: собственные расчеты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72" o:spid="_x0000_s1073" type="#_x0000_t202" style="position:absolute;margin-left:76.55pt;margin-top:6.15pt;width:355.5pt;height:1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" stroked="f">
                <v:textbox inset="0,0,0,0">
                  <w:txbxContent>
                    <w:p w:rsidR="00DA0396" w:rsidRPr="001A44A1" w:rsidRDefault="00DA0396" w:rsidP="000A78EF">
                      <w:pPr>
                        <w:pStyle w:val="aa"/>
                        <w:jc w:val="right"/>
                        <w:rPr>
                          <w:rFonts w:ascii="Times New Roman" w:hAnsi="Times New Roman"/>
                          <w:noProof/>
                          <w:color w:val="000000" w:themeColor="text1"/>
                          <w:sz w:val="24"/>
                          <w:szCs w:val="24"/>
                        </w:rPr>
                      </w:pPr>
                      <w:r>
                        <w:rPr>
                          <w:rFonts w:ascii="Times New Roman" w:hAnsi="Times New Roman"/>
                          <w:color w:val="000000" w:themeColor="text1"/>
                          <w:sz w:val="24"/>
                          <w:szCs w:val="24"/>
                        </w:rPr>
                        <w:t>Источник: собственные расчеты</w:t>
                      </w:r>
                    </w:p>
                  </w:txbxContent>
                </v:textbox>
                <w10:wrap type="tight"/>
              </v:shape>
            </w:pict>
          </mc:Fallback>
        </mc:AlternateContent>
      </w: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734016" behindDoc="0" locked="0" layoutInCell="1" allowOverlap="1" wp14:anchorId="406C6D8D" wp14:editId="1AB39886">
                <wp:simplePos x="0" y="0"/>
                <wp:positionH relativeFrom="column">
                  <wp:posOffset>618490</wp:posOffset>
                </wp:positionH>
                <wp:positionV relativeFrom="paragraph">
                  <wp:posOffset>-24130</wp:posOffset>
                </wp:positionV>
                <wp:extent cx="4514850" cy="361950"/>
                <wp:effectExtent l="0" t="0" r="0" b="0"/>
                <wp:wrapTight wrapText="bothSides">
                  <wp:wrapPolygon edited="0">
                    <wp:start x="0" y="0"/>
                    <wp:lineTo x="0" y="20463"/>
                    <wp:lineTo x="21509" y="20463"/>
                    <wp:lineTo x="21509" y="0"/>
                    <wp:lineTo x="0" y="0"/>
                  </wp:wrapPolygon>
                </wp:wrapTight>
                <wp:docPr id="1073" name="Поле 1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1A44A1" w:rsidRDefault="00DA0396" w:rsidP="000A78EF">
                            <w:pPr>
                              <w:pStyle w:val="aa"/>
                              <w:jc w:val="center"/>
                              <w:rPr>
                                <w:rFonts w:ascii="Times New Roman" w:hAnsi="Times New Roman"/>
                                <w:noProof/>
                                <w:color w:val="000000" w:themeColor="text1"/>
                                <w:sz w:val="24"/>
                                <w:szCs w:val="24"/>
                              </w:rPr>
                            </w:pPr>
                            <w:r>
                              <w:rPr>
                                <w:rFonts w:ascii="Times New Roman" w:hAnsi="Times New Roman"/>
                                <w:color w:val="000000" w:themeColor="text1"/>
                                <w:sz w:val="24"/>
                                <w:szCs w:val="24"/>
                              </w:rPr>
                              <w:t>График 14: Удаленность нижних границ от локального минимума в США и Австралии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73" o:spid="_x0000_s1074" type="#_x0000_t202" style="position:absolute;margin-left:48.7pt;margin-top:-1.9pt;width:355.5pt;height:2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" stroked="f">
                <v:textbox inset="0,0,0,0">
                  <w:txbxContent>
                    <w:p w:rsidR="00DA0396" w:rsidRPr="001A44A1" w:rsidRDefault="00DA0396" w:rsidP="000A78EF">
                      <w:pPr>
                        <w:pStyle w:val="aa"/>
                        <w:jc w:val="center"/>
                        <w:rPr>
                          <w:rFonts w:ascii="Times New Roman" w:hAnsi="Times New Roman"/>
                          <w:noProof/>
                          <w:color w:val="000000" w:themeColor="text1"/>
                          <w:sz w:val="24"/>
                          <w:szCs w:val="24"/>
                        </w:rPr>
                      </w:pPr>
                      <w:r>
                        <w:rPr>
                          <w:rFonts w:ascii="Times New Roman" w:hAnsi="Times New Roman"/>
                          <w:color w:val="000000" w:themeColor="text1"/>
                          <w:sz w:val="24"/>
                          <w:szCs w:val="24"/>
                        </w:rPr>
                        <w:t>График 14: Удаленность нижних границ от локального минимума в США и Австралии</w:t>
                      </w:r>
                    </w:p>
                  </w:txbxContent>
                </v:textbox>
                <w10:wrap type="tight"/>
              </v:shape>
            </w:pict>
          </mc:Fallback>
        </mc:AlternateContent>
      </w:r>
    </w:p>
    <w:p w:rsidR="000A78EF" w:rsidRDefault="000A78EF" w:rsidP="000A78EF">
      <w:pPr>
        <w:rPr>
          <w:rFonts w:ascii="Times New Roman" w:hAnsi="Times New Roman" w:cs="Times New Roman"/>
          <w:sz w:val="28"/>
          <w:szCs w:val="28"/>
        </w:rPr>
      </w:pPr>
      <w:r>
        <w:rPr>
          <w:rFonts w:ascii="Times New Roman" w:eastAsiaTheme="minorEastAsia" w:hAnsi="Times New Roman" w:cs="Times New Roman"/>
          <w:noProof/>
          <w:sz w:val="28"/>
          <w:szCs w:val="28"/>
          <w:lang w:eastAsia="ru-RU"/>
        </w:rPr>
        <w:drawing>
          <wp:anchor distT="0" distB="0" distL="114300" distR="114300" simplePos="0" relativeHeight="251735040" behindDoc="1" locked="0" layoutInCell="1" allowOverlap="1" wp14:anchorId="76EF03D3" wp14:editId="4A72A9DE">
            <wp:simplePos x="0" y="0"/>
            <wp:positionH relativeFrom="column">
              <wp:posOffset>683260</wp:posOffset>
            </wp:positionH>
            <wp:positionV relativeFrom="paragraph">
              <wp:posOffset>264795</wp:posOffset>
            </wp:positionV>
            <wp:extent cx="4584700" cy="2755900"/>
            <wp:effectExtent l="0" t="0" r="6350" b="6350"/>
            <wp:wrapTight wrapText="bothSides">
              <wp:wrapPolygon edited="0">
                <wp:start x="0" y="0"/>
                <wp:lineTo x="0" y="21500"/>
                <wp:lineTo x="21540" y="21500"/>
                <wp:lineTo x="21540"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14:sizeRelH relativeFrom="page">
              <wp14:pctWidth>0</wp14:pctWidth>
            </wp14:sizeRelH>
            <wp14:sizeRelV relativeFrom="page">
              <wp14:pctHeight>0</wp14:pctHeight>
            </wp14:sizeRelV>
          </wp:anchor>
        </w:drawing>
      </w: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36064" behindDoc="0" locked="0" layoutInCell="1" allowOverlap="1" wp14:anchorId="2BEB7900" wp14:editId="038DB631">
                <wp:simplePos x="0" y="0"/>
                <wp:positionH relativeFrom="column">
                  <wp:posOffset>681990</wp:posOffset>
                </wp:positionH>
                <wp:positionV relativeFrom="paragraph">
                  <wp:posOffset>209550</wp:posOffset>
                </wp:positionV>
                <wp:extent cx="4514850" cy="200025"/>
                <wp:effectExtent l="0" t="0" r="0" b="9525"/>
                <wp:wrapTight wrapText="bothSides">
                  <wp:wrapPolygon edited="0">
                    <wp:start x="0" y="0"/>
                    <wp:lineTo x="0" y="20571"/>
                    <wp:lineTo x="21509" y="20571"/>
                    <wp:lineTo x="21509" y="0"/>
                    <wp:lineTo x="0" y="0"/>
                  </wp:wrapPolygon>
                </wp:wrapTight>
                <wp:docPr id="1074" name="Поле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96" w:rsidRPr="001A44A1" w:rsidRDefault="00DA0396" w:rsidP="000A78EF">
                            <w:pPr>
                              <w:pStyle w:val="aa"/>
                              <w:jc w:val="right"/>
                              <w:rPr>
                                <w:rFonts w:ascii="Times New Roman" w:hAnsi="Times New Roman"/>
                                <w:noProof/>
                                <w:color w:val="000000" w:themeColor="text1"/>
                                <w:sz w:val="24"/>
                                <w:szCs w:val="24"/>
                              </w:rPr>
                            </w:pPr>
                            <w:r>
                              <w:rPr>
                                <w:rFonts w:ascii="Times New Roman" w:hAnsi="Times New Roman"/>
                                <w:color w:val="000000" w:themeColor="text1"/>
                                <w:sz w:val="24"/>
                                <w:szCs w:val="24"/>
                              </w:rPr>
                              <w:t>Источник: собственные расчеты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74" o:spid="_x0000_s1075" type="#_x0000_t202" style="position:absolute;margin-left:53.7pt;margin-top:16.5pt;width:355.5pt;height:1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" stroked="f">
                <v:textbox inset="0,0,0,0">
                  <w:txbxContent>
                    <w:p w:rsidR="00DA0396" w:rsidRPr="001A44A1" w:rsidRDefault="00DA0396" w:rsidP="000A78EF">
                      <w:pPr>
                        <w:pStyle w:val="aa"/>
                        <w:jc w:val="right"/>
                        <w:rPr>
                          <w:rFonts w:ascii="Times New Roman" w:hAnsi="Times New Roman"/>
                          <w:noProof/>
                          <w:color w:val="000000" w:themeColor="text1"/>
                          <w:sz w:val="24"/>
                          <w:szCs w:val="24"/>
                        </w:rPr>
                      </w:pPr>
                      <w:r>
                        <w:rPr>
                          <w:rFonts w:ascii="Times New Roman" w:hAnsi="Times New Roman"/>
                          <w:color w:val="000000" w:themeColor="text1"/>
                          <w:sz w:val="24"/>
                          <w:szCs w:val="24"/>
                        </w:rPr>
                        <w:t>Источник: собственные расчеты</w:t>
                      </w:r>
                    </w:p>
                  </w:txbxContent>
                </v:textbox>
                <w10:wrap type="tight"/>
              </v:shape>
            </w:pict>
          </mc:Fallback>
        </mc:AlternateContent>
      </w: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r>
        <w:rPr>
          <w:rFonts w:ascii="Times New Roman" w:hAnsi="Times New Roman" w:cs="Times New Roman"/>
          <w:sz w:val="28"/>
          <w:szCs w:val="28"/>
        </w:rPr>
        <w:br w:type="page"/>
      </w:r>
    </w:p>
    <w:p w:rsidR="000A78EF" w:rsidRDefault="000A78EF" w:rsidP="000A78EF">
      <w:pPr>
        <w:jc w:val="center"/>
        <w:rPr>
          <w:rFonts w:ascii="Times New Roman" w:hAnsi="Times New Roman" w:cs="Times New Roman"/>
          <w:b/>
          <w:sz w:val="28"/>
          <w:szCs w:val="28"/>
        </w:rPr>
      </w:pPr>
      <w:r w:rsidRPr="00244C91">
        <w:rPr>
          <w:rFonts w:ascii="Times New Roman" w:hAnsi="Times New Roman" w:cs="Times New Roman"/>
          <w:b/>
          <w:sz w:val="28"/>
          <w:szCs w:val="28"/>
        </w:rPr>
        <w:lastRenderedPageBreak/>
        <w:t xml:space="preserve">Вычисления, выполненные в среде </w:t>
      </w:r>
      <w:r w:rsidRPr="00244C91">
        <w:rPr>
          <w:rFonts w:ascii="Times New Roman" w:hAnsi="Times New Roman" w:cs="Times New Roman"/>
          <w:b/>
          <w:sz w:val="28"/>
          <w:szCs w:val="28"/>
          <w:lang w:val="en-US"/>
        </w:rPr>
        <w:t>Mathcad</w:t>
      </w:r>
    </w:p>
    <w:p w:rsidR="000A78EF" w:rsidRPr="00194758" w:rsidRDefault="000A78EF" w:rsidP="000A78EF">
      <w:pPr>
        <w:jc w:val="center"/>
        <w:rPr>
          <w:rFonts w:ascii="Times New Roman" w:hAnsi="Times New Roman" w:cs="Times New Roman"/>
          <w:b/>
          <w:sz w:val="28"/>
          <w:szCs w:val="28"/>
        </w:rPr>
      </w:pPr>
    </w:p>
    <w:p w:rsidR="000A78EF" w:rsidRDefault="000A78EF" w:rsidP="000A78EF">
      <w:pPr>
        <w:rPr>
          <w:rFonts w:ascii="Times New Roman" w:hAnsi="Times New Roman" w:cs="Times New Roman"/>
          <w:sz w:val="28"/>
          <w:szCs w:val="28"/>
        </w:rPr>
      </w:pPr>
      <w:r>
        <w:rPr>
          <w:rFonts w:ascii="Times New Roman" w:hAnsi="Times New Roman" w:cs="Times New Roman"/>
          <w:sz w:val="28"/>
          <w:szCs w:val="28"/>
        </w:rPr>
        <w:t>Часть 1: энтропия по Шеннону и символьный анализ</w:t>
      </w:r>
    </w:p>
    <w:p w:rsidR="000A78EF" w:rsidRDefault="000A78EF" w:rsidP="000A78EF">
      <w:pPr>
        <w:rPr>
          <w:rFonts w:ascii="Times New Roman" w:hAnsi="Times New Roman" w:cs="Times New Roman"/>
          <w:sz w:val="28"/>
          <w:szCs w:val="28"/>
        </w:rPr>
      </w:pPr>
      <w:r>
        <w:rPr>
          <w:rFonts w:ascii="Arial" w:eastAsiaTheme="minorEastAsia" w:hAnsi="Arial" w:cs="Arial"/>
          <w:noProof/>
          <w:position w:val="-255"/>
          <w:sz w:val="20"/>
          <w:szCs w:val="20"/>
          <w:lang w:eastAsia="ru-RU"/>
        </w:rPr>
        <w:drawing>
          <wp:anchor distT="0" distB="0" distL="114300" distR="114300" simplePos="0" relativeHeight="251737088" behindDoc="1" locked="0" layoutInCell="1" allowOverlap="1" wp14:anchorId="6E932A53" wp14:editId="1ECB98A8">
            <wp:simplePos x="0" y="0"/>
            <wp:positionH relativeFrom="column">
              <wp:posOffset>2851150</wp:posOffset>
            </wp:positionH>
            <wp:positionV relativeFrom="paragraph">
              <wp:posOffset>12700</wp:posOffset>
            </wp:positionV>
            <wp:extent cx="1364615" cy="1733550"/>
            <wp:effectExtent l="0" t="0" r="6985" b="0"/>
            <wp:wrapTight wrapText="bothSides">
              <wp:wrapPolygon edited="0">
                <wp:start x="0" y="0"/>
                <wp:lineTo x="0" y="1424"/>
                <wp:lineTo x="3015" y="4273"/>
                <wp:lineTo x="3920" y="21363"/>
                <wp:lineTo x="21409" y="21363"/>
                <wp:lineTo x="21409" y="1424"/>
                <wp:lineTo x="1809" y="0"/>
                <wp:lineTo x="0" y="0"/>
              </wp:wrapPolygon>
            </wp:wrapTight>
            <wp:docPr id="1121" name="Рисунок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64615"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78EF" w:rsidRPr="00244C91" w:rsidRDefault="000A78EF" w:rsidP="000A78EF">
      <w:pPr>
        <w:framePr w:w="3146" w:h="255" w:wrap="auto" w:hAnchor="margin" w:x="643" w:y="3367"/>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noProof/>
          <w:position w:val="-7"/>
          <w:sz w:val="20"/>
          <w:szCs w:val="20"/>
          <w:lang w:eastAsia="ru-RU"/>
        </w:rPr>
        <w:drawing>
          <wp:inline distT="0" distB="0" distL="0" distR="0" wp14:anchorId="03AC2B18" wp14:editId="7EFDE4D2">
            <wp:extent cx="901065" cy="163830"/>
            <wp:effectExtent l="0" t="0" r="0" b="7620"/>
            <wp:docPr id="1120" name="Рисунок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01065" cy="163830"/>
                    </a:xfrm>
                    <a:prstGeom prst="rect">
                      <a:avLst/>
                    </a:prstGeom>
                    <a:noFill/>
                    <a:ln>
                      <a:noFill/>
                    </a:ln>
                  </pic:spPr>
                </pic:pic>
              </a:graphicData>
            </a:graphic>
          </wp:inline>
        </w:drawing>
      </w:r>
    </w:p>
    <w:p w:rsidR="000A78EF" w:rsidRPr="00244C91" w:rsidRDefault="000A78EF" w:rsidP="000A78EF">
      <w:pPr>
        <w:framePr w:w="2774" w:h="375" w:wrap="auto" w:hAnchor="margin" w:x="643" w:y="3734"/>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noProof/>
          <w:position w:val="-7"/>
          <w:sz w:val="20"/>
          <w:szCs w:val="20"/>
          <w:lang w:eastAsia="ru-RU"/>
        </w:rPr>
        <w:drawing>
          <wp:inline distT="0" distB="0" distL="0" distR="0" wp14:anchorId="6D4059D3" wp14:editId="58C2F880">
            <wp:extent cx="901065" cy="231775"/>
            <wp:effectExtent l="0" t="0" r="0" b="0"/>
            <wp:docPr id="1119" name="Рисунок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01065" cy="231775"/>
                    </a:xfrm>
                    <a:prstGeom prst="rect">
                      <a:avLst/>
                    </a:prstGeom>
                    <a:noFill/>
                    <a:ln>
                      <a:noFill/>
                    </a:ln>
                  </pic:spPr>
                </pic:pic>
              </a:graphicData>
            </a:graphic>
          </wp:inline>
        </w:drawing>
      </w:r>
    </w:p>
    <w:p w:rsidR="000A78EF" w:rsidRPr="00244C91" w:rsidRDefault="000A78EF" w:rsidP="000A78EF">
      <w:pPr>
        <w:framePr w:w="2456" w:h="255" w:wrap="auto" w:hAnchor="margin" w:x="643" w:y="4346"/>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noProof/>
          <w:position w:val="-7"/>
          <w:sz w:val="20"/>
          <w:szCs w:val="20"/>
          <w:lang w:eastAsia="ru-RU"/>
        </w:rPr>
        <w:drawing>
          <wp:inline distT="0" distB="0" distL="0" distR="0" wp14:anchorId="4AC42249" wp14:editId="616437EA">
            <wp:extent cx="464185" cy="163830"/>
            <wp:effectExtent l="0" t="0" r="0" b="7620"/>
            <wp:docPr id="1118" name="Рисунок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4185" cy="163830"/>
                    </a:xfrm>
                    <a:prstGeom prst="rect">
                      <a:avLst/>
                    </a:prstGeom>
                    <a:noFill/>
                    <a:ln>
                      <a:noFill/>
                    </a:ln>
                  </pic:spPr>
                </pic:pic>
              </a:graphicData>
            </a:graphic>
          </wp:inline>
        </w:drawing>
      </w:r>
    </w:p>
    <w:p w:rsidR="000A78EF" w:rsidRPr="00244C91" w:rsidRDefault="000A78EF" w:rsidP="000A78EF">
      <w:pPr>
        <w:framePr w:w="1931" w:h="765" w:wrap="auto" w:hAnchor="margin" w:x="643" w:y="4835"/>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noProof/>
          <w:position w:val="-34"/>
          <w:sz w:val="20"/>
          <w:szCs w:val="20"/>
          <w:lang w:eastAsia="ru-RU"/>
        </w:rPr>
        <w:drawing>
          <wp:inline distT="0" distB="0" distL="0" distR="0" wp14:anchorId="5CC1ED57" wp14:editId="16BAFA93">
            <wp:extent cx="777875" cy="491490"/>
            <wp:effectExtent l="0" t="0" r="3175" b="3810"/>
            <wp:docPr id="1117" name="Рисунок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77875" cy="491490"/>
                    </a:xfrm>
                    <a:prstGeom prst="rect">
                      <a:avLst/>
                    </a:prstGeom>
                    <a:noFill/>
                    <a:ln>
                      <a:noFill/>
                    </a:ln>
                  </pic:spPr>
                </pic:pic>
              </a:graphicData>
            </a:graphic>
          </wp:inline>
        </w:drawing>
      </w:r>
    </w:p>
    <w:p w:rsidR="000A78EF" w:rsidRPr="00244C91" w:rsidRDefault="000A78EF" w:rsidP="000A78EF">
      <w:pPr>
        <w:framePr w:w="2417" w:h="2835" w:wrap="auto" w:hAnchor="margin" w:x="5137" w:y="5325"/>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noProof/>
          <w:position w:val="-265"/>
          <w:sz w:val="20"/>
          <w:szCs w:val="20"/>
          <w:lang w:eastAsia="ru-RU"/>
        </w:rPr>
        <w:drawing>
          <wp:inline distT="0" distB="0" distL="0" distR="0" wp14:anchorId="1E2B9652" wp14:editId="0932951E">
            <wp:extent cx="1337310" cy="1801495"/>
            <wp:effectExtent l="0" t="0" r="0" b="0"/>
            <wp:docPr id="1116" name="Рисунок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7310" cy="1801495"/>
                    </a:xfrm>
                    <a:prstGeom prst="rect">
                      <a:avLst/>
                    </a:prstGeom>
                    <a:noFill/>
                    <a:ln>
                      <a:noFill/>
                    </a:ln>
                  </pic:spPr>
                </pic:pic>
              </a:graphicData>
            </a:graphic>
          </wp:inline>
        </w:drawing>
      </w:r>
    </w:p>
    <w:p w:rsidR="000A78EF" w:rsidRPr="00244C91" w:rsidRDefault="000A78EF" w:rsidP="000A78EF">
      <w:pPr>
        <w:framePr w:w="2524" w:h="690" w:wrap="auto" w:hAnchor="margin" w:x="643" w:y="5937"/>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noProof/>
          <w:position w:val="-51"/>
          <w:sz w:val="20"/>
          <w:szCs w:val="20"/>
          <w:lang w:eastAsia="ru-RU"/>
        </w:rPr>
        <w:drawing>
          <wp:inline distT="0" distB="0" distL="0" distR="0" wp14:anchorId="748F64C1" wp14:editId="3C193D8B">
            <wp:extent cx="1105535" cy="436880"/>
            <wp:effectExtent l="0" t="0" r="0" b="1270"/>
            <wp:docPr id="1115" name="Рисунок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05535" cy="436880"/>
                    </a:xfrm>
                    <a:prstGeom prst="rect">
                      <a:avLst/>
                    </a:prstGeom>
                    <a:noFill/>
                    <a:ln>
                      <a:noFill/>
                    </a:ln>
                  </pic:spPr>
                </pic:pic>
              </a:graphicData>
            </a:graphic>
          </wp:inline>
        </w:drawing>
      </w:r>
    </w:p>
    <w:p w:rsidR="000A78EF" w:rsidRPr="00244C91" w:rsidRDefault="000A78EF" w:rsidP="000A78EF">
      <w:pPr>
        <w:framePr w:w="1110" w:h="3465" w:wrap="auto" w:hAnchor="margin" w:x="7833" w:y="6059"/>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noProof/>
          <w:position w:val="-328"/>
          <w:sz w:val="20"/>
          <w:szCs w:val="20"/>
          <w:lang w:eastAsia="ru-RU"/>
        </w:rPr>
        <w:drawing>
          <wp:inline distT="0" distB="0" distL="0" distR="0" wp14:anchorId="2F5AD9E2" wp14:editId="4B658B84">
            <wp:extent cx="518795" cy="2197100"/>
            <wp:effectExtent l="0" t="0" r="0" b="0"/>
            <wp:docPr id="1114" name="Рисунок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795" cy="2197100"/>
                    </a:xfrm>
                    <a:prstGeom prst="rect">
                      <a:avLst/>
                    </a:prstGeom>
                    <a:noFill/>
                    <a:ln>
                      <a:noFill/>
                    </a:ln>
                  </pic:spPr>
                </pic:pic>
              </a:graphicData>
            </a:graphic>
          </wp:inline>
        </w:drawing>
      </w:r>
    </w:p>
    <w:p w:rsidR="000A78EF" w:rsidRPr="00244C91" w:rsidRDefault="000A78EF" w:rsidP="000A78EF">
      <w:pPr>
        <w:framePr w:w="2186" w:h="255" w:wrap="auto" w:hAnchor="margin" w:x="643" w:y="7283"/>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noProof/>
          <w:position w:val="-7"/>
          <w:sz w:val="20"/>
          <w:szCs w:val="20"/>
          <w:lang w:eastAsia="ru-RU"/>
        </w:rPr>
        <w:drawing>
          <wp:inline distT="0" distB="0" distL="0" distR="0" wp14:anchorId="11A62DAF" wp14:editId="2F33472D">
            <wp:extent cx="286385" cy="163830"/>
            <wp:effectExtent l="0" t="0" r="0" b="7620"/>
            <wp:docPr id="1113" name="Рисунок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6385" cy="163830"/>
                    </a:xfrm>
                    <a:prstGeom prst="rect">
                      <a:avLst/>
                    </a:prstGeom>
                    <a:noFill/>
                    <a:ln>
                      <a:noFill/>
                    </a:ln>
                  </pic:spPr>
                </pic:pic>
              </a:graphicData>
            </a:graphic>
          </wp:inline>
        </w:drawing>
      </w:r>
    </w:p>
    <w:p w:rsidR="000A78EF" w:rsidRPr="00244C91" w:rsidRDefault="000A78EF" w:rsidP="000A78EF">
      <w:pPr>
        <w:framePr w:w="2786" w:h="255" w:wrap="auto" w:hAnchor="margin" w:x="643" w:y="7651"/>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noProof/>
          <w:position w:val="-7"/>
          <w:sz w:val="20"/>
          <w:szCs w:val="20"/>
          <w:lang w:eastAsia="ru-RU"/>
        </w:rPr>
        <w:drawing>
          <wp:inline distT="0" distB="0" distL="0" distR="0" wp14:anchorId="5D3E5074" wp14:editId="3AA15A71">
            <wp:extent cx="668655" cy="163830"/>
            <wp:effectExtent l="0" t="0" r="0" b="7620"/>
            <wp:docPr id="1112" name="Рисунок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8655" cy="163830"/>
                    </a:xfrm>
                    <a:prstGeom prst="rect">
                      <a:avLst/>
                    </a:prstGeom>
                    <a:noFill/>
                    <a:ln>
                      <a:noFill/>
                    </a:ln>
                  </pic:spPr>
                </pic:pic>
              </a:graphicData>
            </a:graphic>
          </wp:inline>
        </w:drawing>
      </w:r>
    </w:p>
    <w:p w:rsidR="000A78EF" w:rsidRPr="00244C91" w:rsidRDefault="000A78EF" w:rsidP="000A78EF">
      <w:pPr>
        <w:framePr w:w="4180" w:h="360" w:wrap="auto" w:hAnchor="margin" w:x="643" w:y="8263"/>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noProof/>
          <w:position w:val="-18"/>
          <w:sz w:val="20"/>
          <w:szCs w:val="20"/>
          <w:lang w:eastAsia="ru-RU"/>
        </w:rPr>
        <w:drawing>
          <wp:inline distT="0" distB="0" distL="0" distR="0" wp14:anchorId="5B1774E5" wp14:editId="2DEC58D9">
            <wp:extent cx="1760855" cy="231775"/>
            <wp:effectExtent l="0" t="0" r="0" b="0"/>
            <wp:docPr id="1111" name="Рисунок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60855" cy="231775"/>
                    </a:xfrm>
                    <a:prstGeom prst="rect">
                      <a:avLst/>
                    </a:prstGeom>
                    <a:noFill/>
                    <a:ln>
                      <a:noFill/>
                    </a:ln>
                  </pic:spPr>
                </pic:pic>
              </a:graphicData>
            </a:graphic>
          </wp:inline>
        </w:drawing>
      </w:r>
    </w:p>
    <w:p w:rsidR="000A78EF" w:rsidRPr="00244C91" w:rsidRDefault="000A78EF" w:rsidP="000A78EF">
      <w:pPr>
        <w:framePr w:w="5453" w:h="870" w:wrap="auto" w:hAnchor="margin" w:x="643" w:y="9150"/>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noProof/>
          <w:position w:val="-24"/>
          <w:sz w:val="20"/>
          <w:szCs w:val="20"/>
          <w:lang w:eastAsia="ru-RU"/>
        </w:rPr>
        <w:drawing>
          <wp:inline distT="0" distB="0" distL="0" distR="0" wp14:anchorId="5F1946A3" wp14:editId="67B7B1D4">
            <wp:extent cx="3070860" cy="546100"/>
            <wp:effectExtent l="0" t="0" r="0" b="6350"/>
            <wp:docPr id="1110" name="Рисунок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70860" cy="546100"/>
                    </a:xfrm>
                    <a:prstGeom prst="rect">
                      <a:avLst/>
                    </a:prstGeom>
                    <a:noFill/>
                    <a:ln>
                      <a:noFill/>
                    </a:ln>
                  </pic:spPr>
                </pic:pic>
              </a:graphicData>
            </a:graphic>
          </wp:inline>
        </w:drawing>
      </w:r>
    </w:p>
    <w:p w:rsidR="000A78EF" w:rsidRPr="00244C91" w:rsidRDefault="000A78EF" w:rsidP="000A78EF">
      <w:pPr>
        <w:framePr w:w="1570" w:h="2205" w:wrap="auto" w:hAnchor="margin" w:x="7063" w:y="9854"/>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noProof/>
          <w:position w:val="-202"/>
          <w:sz w:val="20"/>
          <w:szCs w:val="20"/>
          <w:lang w:eastAsia="ru-RU"/>
        </w:rPr>
        <w:drawing>
          <wp:inline distT="0" distB="0" distL="0" distR="0" wp14:anchorId="0D2E1152" wp14:editId="3B5B4191">
            <wp:extent cx="805180" cy="1405890"/>
            <wp:effectExtent l="0" t="0" r="0" b="0"/>
            <wp:docPr id="1109" name="Рисунок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05180" cy="1405890"/>
                    </a:xfrm>
                    <a:prstGeom prst="rect">
                      <a:avLst/>
                    </a:prstGeom>
                    <a:noFill/>
                    <a:ln>
                      <a:noFill/>
                    </a:ln>
                  </pic:spPr>
                </pic:pic>
              </a:graphicData>
            </a:graphic>
          </wp:inline>
        </w:drawing>
      </w:r>
    </w:p>
    <w:p w:rsidR="000A78EF" w:rsidRPr="00244C91" w:rsidRDefault="000A78EF" w:rsidP="000A78EF">
      <w:pPr>
        <w:framePr w:w="5245" w:h="360" w:wrap="auto" w:hAnchor="margin" w:x="643" w:y="10711"/>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noProof/>
          <w:position w:val="-18"/>
          <w:sz w:val="20"/>
          <w:szCs w:val="20"/>
          <w:lang w:eastAsia="ru-RU"/>
        </w:rPr>
        <w:drawing>
          <wp:inline distT="0" distB="0" distL="0" distR="0" wp14:anchorId="36EF3C28" wp14:editId="12E39444">
            <wp:extent cx="2442845" cy="231775"/>
            <wp:effectExtent l="0" t="0" r="0" b="0"/>
            <wp:docPr id="1108" name="Рисунок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42845" cy="231775"/>
                    </a:xfrm>
                    <a:prstGeom prst="rect">
                      <a:avLst/>
                    </a:prstGeom>
                    <a:noFill/>
                    <a:ln>
                      <a:noFill/>
                    </a:ln>
                  </pic:spPr>
                </pic:pic>
              </a:graphicData>
            </a:graphic>
          </wp:inline>
        </w:drawing>
      </w:r>
    </w:p>
    <w:p w:rsidR="000A78EF" w:rsidRPr="00244C91" w:rsidRDefault="000A78EF" w:rsidP="000A78EF">
      <w:pPr>
        <w:framePr w:w="1959" w:h="1890" w:wrap="auto" w:hAnchor="margin" w:x="643" w:y="11445"/>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noProof/>
          <w:position w:val="-171"/>
          <w:sz w:val="20"/>
          <w:szCs w:val="20"/>
          <w:lang w:eastAsia="ru-RU"/>
        </w:rPr>
        <w:drawing>
          <wp:inline distT="0" distB="0" distL="0" distR="0" wp14:anchorId="3FBB9DFD" wp14:editId="1BA8CFF9">
            <wp:extent cx="1036955" cy="1200785"/>
            <wp:effectExtent l="0" t="0" r="0" b="0"/>
            <wp:docPr id="1107" name="Рисунок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6955" cy="1200785"/>
                    </a:xfrm>
                    <a:prstGeom prst="rect">
                      <a:avLst/>
                    </a:prstGeom>
                    <a:noFill/>
                    <a:ln>
                      <a:noFill/>
                    </a:ln>
                  </pic:spPr>
                </pic:pic>
              </a:graphicData>
            </a:graphic>
          </wp:inline>
        </w:drawing>
      </w: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r>
        <w:rPr>
          <w:rFonts w:ascii="Times New Roman" w:hAnsi="Times New Roman" w:cs="Times New Roman"/>
          <w:sz w:val="28"/>
          <w:szCs w:val="28"/>
        </w:rPr>
        <w:lastRenderedPageBreak/>
        <w:t>Часть 2: относительная энтропия по Кульбаку-Лейблеру</w:t>
      </w:r>
    </w:p>
    <w:p w:rsidR="000A78EF" w:rsidRDefault="000A78EF" w:rsidP="000A78EF">
      <w:pPr>
        <w:rPr>
          <w:rFonts w:ascii="Times New Roman" w:hAnsi="Times New Roman" w:cs="Times New Roman"/>
          <w:sz w:val="28"/>
          <w:szCs w:val="28"/>
        </w:rPr>
      </w:pPr>
      <w:r>
        <w:rPr>
          <w:noProof/>
          <w:position w:val="-318"/>
          <w:lang w:eastAsia="ru-RU"/>
        </w:rPr>
        <w:drawing>
          <wp:anchor distT="0" distB="0" distL="114300" distR="114300" simplePos="0" relativeHeight="251738112" behindDoc="1" locked="0" layoutInCell="1" allowOverlap="1" wp14:anchorId="363F4DDD" wp14:editId="359AD8EC">
            <wp:simplePos x="0" y="0"/>
            <wp:positionH relativeFrom="column">
              <wp:posOffset>2305050</wp:posOffset>
            </wp:positionH>
            <wp:positionV relativeFrom="paragraph">
              <wp:posOffset>31750</wp:posOffset>
            </wp:positionV>
            <wp:extent cx="2211070" cy="2129155"/>
            <wp:effectExtent l="0" t="0" r="0" b="4445"/>
            <wp:wrapTight wrapText="bothSides">
              <wp:wrapPolygon edited="0">
                <wp:start x="0" y="0"/>
                <wp:lineTo x="0" y="1933"/>
                <wp:lineTo x="2233" y="3479"/>
                <wp:lineTo x="2233" y="21452"/>
                <wp:lineTo x="21401" y="21452"/>
                <wp:lineTo x="21401" y="1160"/>
                <wp:lineTo x="1117" y="0"/>
                <wp:lineTo x="0" y="0"/>
              </wp:wrapPolygon>
            </wp:wrapTight>
            <wp:docPr id="1156" name="Рисунок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11070" cy="2129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78EF" w:rsidRDefault="000A78EF" w:rsidP="000A78EF">
      <w:pPr>
        <w:framePr w:w="3116" w:h="255" w:wrap="auto" w:hAnchor="margin" w:x="643" w:y="3856"/>
      </w:pPr>
      <w:r>
        <w:rPr>
          <w:noProof/>
          <w:position w:val="-7"/>
          <w:lang w:eastAsia="ru-RU"/>
        </w:rPr>
        <w:drawing>
          <wp:inline distT="0" distB="0" distL="0" distR="0" wp14:anchorId="1080B413" wp14:editId="3488E451">
            <wp:extent cx="873760" cy="163830"/>
            <wp:effectExtent l="0" t="0" r="2540" b="7620"/>
            <wp:docPr id="1155" name="Рисунок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73760" cy="163830"/>
                    </a:xfrm>
                    <a:prstGeom prst="rect">
                      <a:avLst/>
                    </a:prstGeom>
                    <a:noFill/>
                    <a:ln>
                      <a:noFill/>
                    </a:ln>
                  </pic:spPr>
                </pic:pic>
              </a:graphicData>
            </a:graphic>
          </wp:inline>
        </w:drawing>
      </w:r>
    </w:p>
    <w:p w:rsidR="000A78EF" w:rsidRDefault="000A78EF" w:rsidP="000A78EF">
      <w:pPr>
        <w:framePr w:w="2774" w:h="375" w:wrap="auto" w:hAnchor="margin" w:x="643" w:y="4223"/>
      </w:pPr>
      <w:r>
        <w:rPr>
          <w:noProof/>
          <w:position w:val="-7"/>
          <w:lang w:eastAsia="ru-RU"/>
        </w:rPr>
        <w:drawing>
          <wp:inline distT="0" distB="0" distL="0" distR="0" wp14:anchorId="02ABBFBC" wp14:editId="11E74DA4">
            <wp:extent cx="901065" cy="231775"/>
            <wp:effectExtent l="0" t="0" r="0" b="0"/>
            <wp:docPr id="1154" name="Рисунок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01065" cy="231775"/>
                    </a:xfrm>
                    <a:prstGeom prst="rect">
                      <a:avLst/>
                    </a:prstGeom>
                    <a:noFill/>
                    <a:ln>
                      <a:noFill/>
                    </a:ln>
                  </pic:spPr>
                </pic:pic>
              </a:graphicData>
            </a:graphic>
          </wp:inline>
        </w:drawing>
      </w:r>
    </w:p>
    <w:p w:rsidR="000A78EF" w:rsidRDefault="000A78EF" w:rsidP="000A78EF">
      <w:pPr>
        <w:framePr w:w="2186" w:h="255" w:wrap="auto" w:hAnchor="margin" w:x="643" w:y="4958"/>
      </w:pPr>
      <w:r>
        <w:rPr>
          <w:noProof/>
          <w:position w:val="-7"/>
          <w:lang w:eastAsia="ru-RU"/>
        </w:rPr>
        <w:drawing>
          <wp:inline distT="0" distB="0" distL="0" distR="0" wp14:anchorId="719A44D9" wp14:editId="4650397C">
            <wp:extent cx="286385" cy="163830"/>
            <wp:effectExtent l="0" t="0" r="0" b="7620"/>
            <wp:docPr id="1153" name="Рисунок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6385" cy="163830"/>
                    </a:xfrm>
                    <a:prstGeom prst="rect">
                      <a:avLst/>
                    </a:prstGeom>
                    <a:noFill/>
                    <a:ln>
                      <a:noFill/>
                    </a:ln>
                  </pic:spPr>
                </pic:pic>
              </a:graphicData>
            </a:graphic>
          </wp:inline>
        </w:drawing>
      </w:r>
    </w:p>
    <w:p w:rsidR="000A78EF" w:rsidRDefault="000A78EF" w:rsidP="000A78EF">
      <w:pPr>
        <w:framePr w:w="2456" w:h="255" w:wrap="auto" w:hAnchor="margin" w:x="643" w:y="5447"/>
      </w:pPr>
      <w:r>
        <w:rPr>
          <w:noProof/>
          <w:position w:val="-7"/>
          <w:lang w:eastAsia="ru-RU"/>
        </w:rPr>
        <w:drawing>
          <wp:inline distT="0" distB="0" distL="0" distR="0" wp14:anchorId="0EBA1F3E" wp14:editId="154D5528">
            <wp:extent cx="464185" cy="163830"/>
            <wp:effectExtent l="0" t="0" r="0" b="7620"/>
            <wp:docPr id="1152" name="Рисунок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4185" cy="163830"/>
                    </a:xfrm>
                    <a:prstGeom prst="rect">
                      <a:avLst/>
                    </a:prstGeom>
                    <a:noFill/>
                    <a:ln>
                      <a:noFill/>
                    </a:ln>
                  </pic:spPr>
                </pic:pic>
              </a:graphicData>
            </a:graphic>
          </wp:inline>
        </w:drawing>
      </w:r>
    </w:p>
    <w:p w:rsidR="000A78EF" w:rsidRDefault="000A78EF" w:rsidP="000A78EF">
      <w:pPr>
        <w:framePr w:w="2081" w:h="765" w:wrap="auto" w:hAnchor="margin" w:x="643" w:y="6304"/>
      </w:pPr>
      <w:r>
        <w:rPr>
          <w:noProof/>
          <w:position w:val="-34"/>
          <w:lang w:eastAsia="ru-RU"/>
        </w:rPr>
        <w:drawing>
          <wp:inline distT="0" distB="0" distL="0" distR="0" wp14:anchorId="52C8ABE2" wp14:editId="7776DA76">
            <wp:extent cx="873760" cy="491490"/>
            <wp:effectExtent l="0" t="0" r="2540" b="3810"/>
            <wp:docPr id="1151" name="Рисунок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73760" cy="491490"/>
                    </a:xfrm>
                    <a:prstGeom prst="rect">
                      <a:avLst/>
                    </a:prstGeom>
                    <a:noFill/>
                    <a:ln>
                      <a:noFill/>
                    </a:ln>
                  </pic:spPr>
                </pic:pic>
              </a:graphicData>
            </a:graphic>
          </wp:inline>
        </w:drawing>
      </w:r>
    </w:p>
    <w:p w:rsidR="000A78EF" w:rsidRDefault="000A78EF" w:rsidP="000A78EF">
      <w:pPr>
        <w:framePr w:w="2786" w:h="255" w:wrap="auto" w:hAnchor="margin" w:x="643" w:y="7283"/>
      </w:pPr>
      <w:r>
        <w:rPr>
          <w:noProof/>
          <w:position w:val="-7"/>
          <w:lang w:eastAsia="ru-RU"/>
        </w:rPr>
        <w:drawing>
          <wp:inline distT="0" distB="0" distL="0" distR="0" wp14:anchorId="25A7C725" wp14:editId="308FAE09">
            <wp:extent cx="668655" cy="163830"/>
            <wp:effectExtent l="0" t="0" r="0" b="7620"/>
            <wp:docPr id="1150" name="Рисунок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8655" cy="163830"/>
                    </a:xfrm>
                    <a:prstGeom prst="rect">
                      <a:avLst/>
                    </a:prstGeom>
                    <a:noFill/>
                    <a:ln>
                      <a:noFill/>
                    </a:ln>
                  </pic:spPr>
                </pic:pic>
              </a:graphicData>
            </a:graphic>
          </wp:inline>
        </w:drawing>
      </w:r>
    </w:p>
    <w:p w:rsidR="000A78EF" w:rsidRDefault="000A78EF" w:rsidP="000A78EF">
      <w:pPr>
        <w:framePr w:w="4135" w:h="360" w:wrap="auto" w:hAnchor="margin" w:x="643" w:y="8140"/>
      </w:pPr>
      <w:r>
        <w:rPr>
          <w:noProof/>
          <w:position w:val="-18"/>
          <w:lang w:eastAsia="ru-RU"/>
        </w:rPr>
        <w:drawing>
          <wp:inline distT="0" distB="0" distL="0" distR="0" wp14:anchorId="13144FB6" wp14:editId="0D42B4B0">
            <wp:extent cx="1733550" cy="231775"/>
            <wp:effectExtent l="0" t="0" r="0" b="0"/>
            <wp:docPr id="1149" name="Рисунок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33550" cy="231775"/>
                    </a:xfrm>
                    <a:prstGeom prst="rect">
                      <a:avLst/>
                    </a:prstGeom>
                    <a:noFill/>
                    <a:ln>
                      <a:noFill/>
                    </a:ln>
                  </pic:spPr>
                </pic:pic>
              </a:graphicData>
            </a:graphic>
          </wp:inline>
        </w:drawing>
      </w:r>
    </w:p>
    <w:p w:rsidR="000A78EF" w:rsidRDefault="000A78EF" w:rsidP="000A78EF">
      <w:pPr>
        <w:framePr w:w="2650" w:h="360" w:wrap="auto" w:hAnchor="margin" w:x="643" w:y="8752"/>
      </w:pPr>
      <w:r>
        <w:rPr>
          <w:noProof/>
          <w:position w:val="-18"/>
          <w:lang w:eastAsia="ru-RU"/>
        </w:rPr>
        <w:drawing>
          <wp:inline distT="0" distB="0" distL="0" distR="0" wp14:anchorId="531A86EC" wp14:editId="3BB6F469">
            <wp:extent cx="791845" cy="231775"/>
            <wp:effectExtent l="0" t="0" r="8255" b="0"/>
            <wp:docPr id="1148" name="Рисунок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91845" cy="231775"/>
                    </a:xfrm>
                    <a:prstGeom prst="rect">
                      <a:avLst/>
                    </a:prstGeom>
                    <a:noFill/>
                    <a:ln>
                      <a:noFill/>
                    </a:ln>
                  </pic:spPr>
                </pic:pic>
              </a:graphicData>
            </a:graphic>
          </wp:inline>
        </w:drawing>
      </w:r>
    </w:p>
    <w:p w:rsidR="000A78EF" w:rsidRDefault="000A78EF" w:rsidP="000A78EF">
      <w:pPr>
        <w:framePr w:w="2620" w:h="360" w:wrap="auto" w:hAnchor="margin" w:x="643" w:y="9364"/>
      </w:pPr>
      <w:r>
        <w:rPr>
          <w:noProof/>
          <w:position w:val="-18"/>
          <w:lang w:eastAsia="ru-RU"/>
        </w:rPr>
        <w:drawing>
          <wp:inline distT="0" distB="0" distL="0" distR="0" wp14:anchorId="74CB3077" wp14:editId="320F3AA5">
            <wp:extent cx="777875" cy="231775"/>
            <wp:effectExtent l="0" t="0" r="3175" b="0"/>
            <wp:docPr id="1147" name="Рисунок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77875" cy="231775"/>
                    </a:xfrm>
                    <a:prstGeom prst="rect">
                      <a:avLst/>
                    </a:prstGeom>
                    <a:noFill/>
                    <a:ln>
                      <a:noFill/>
                    </a:ln>
                  </pic:spPr>
                </pic:pic>
              </a:graphicData>
            </a:graphic>
          </wp:inline>
        </w:drawing>
      </w:r>
    </w:p>
    <w:p w:rsidR="000A78EF" w:rsidRDefault="000A78EF" w:rsidP="000A78EF">
      <w:pPr>
        <w:framePr w:w="2441" w:h="255" w:wrap="auto" w:hAnchor="margin" w:x="643" w:y="10711"/>
      </w:pPr>
      <w:r>
        <w:rPr>
          <w:noProof/>
          <w:position w:val="-7"/>
          <w:lang w:eastAsia="ru-RU"/>
        </w:rPr>
        <w:drawing>
          <wp:inline distT="0" distB="0" distL="0" distR="0" wp14:anchorId="0D4997B3" wp14:editId="5B4D53A4">
            <wp:extent cx="450215" cy="163830"/>
            <wp:effectExtent l="0" t="0" r="6985" b="7620"/>
            <wp:docPr id="1146" name="Рисунок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0215" cy="163830"/>
                    </a:xfrm>
                    <a:prstGeom prst="rect">
                      <a:avLst/>
                    </a:prstGeom>
                    <a:noFill/>
                    <a:ln>
                      <a:noFill/>
                    </a:ln>
                  </pic:spPr>
                </pic:pic>
              </a:graphicData>
            </a:graphic>
          </wp:inline>
        </w:drawing>
      </w:r>
    </w:p>
    <w:p w:rsidR="000A78EF" w:rsidRDefault="000A78EF" w:rsidP="000A78EF">
      <w:pPr>
        <w:framePr w:w="6869" w:h="1305" w:wrap="auto" w:hAnchor="margin" w:x="643" w:y="11338"/>
      </w:pPr>
      <w:r>
        <w:rPr>
          <w:noProof/>
          <w:position w:val="-42"/>
          <w:lang w:eastAsia="ru-RU"/>
        </w:rPr>
        <w:drawing>
          <wp:inline distT="0" distB="0" distL="0" distR="0" wp14:anchorId="408E9B76" wp14:editId="39EED263">
            <wp:extent cx="4107815" cy="832485"/>
            <wp:effectExtent l="0" t="0" r="6985" b="5715"/>
            <wp:docPr id="1145" name="Рисунок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107815" cy="832485"/>
                    </a:xfrm>
                    <a:prstGeom prst="rect">
                      <a:avLst/>
                    </a:prstGeom>
                    <a:noFill/>
                    <a:ln>
                      <a:noFill/>
                    </a:ln>
                  </pic:spPr>
                </pic:pic>
              </a:graphicData>
            </a:graphic>
          </wp:inline>
        </w:drawing>
      </w:r>
    </w:p>
    <w:p w:rsidR="000A78EF" w:rsidRDefault="000A78EF" w:rsidP="000A78EF">
      <w:r>
        <w:br w:type="page"/>
      </w:r>
    </w:p>
    <w:p w:rsidR="000A78EF" w:rsidRDefault="000A78EF" w:rsidP="000A78EF">
      <w:pPr>
        <w:framePr w:w="2216" w:h="255" w:wrap="auto" w:hAnchor="margin" w:x="643" w:y="475"/>
      </w:pPr>
      <w:r>
        <w:rPr>
          <w:noProof/>
          <w:position w:val="-7"/>
          <w:lang w:eastAsia="ru-RU"/>
        </w:rPr>
        <w:lastRenderedPageBreak/>
        <w:drawing>
          <wp:inline distT="0" distB="0" distL="0" distR="0" wp14:anchorId="1A09F59C" wp14:editId="0B202CC1">
            <wp:extent cx="300355" cy="163830"/>
            <wp:effectExtent l="0" t="0" r="4445" b="7620"/>
            <wp:docPr id="1144" name="Рисунок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00355" cy="163830"/>
                    </a:xfrm>
                    <a:prstGeom prst="rect">
                      <a:avLst/>
                    </a:prstGeom>
                    <a:noFill/>
                    <a:ln>
                      <a:noFill/>
                    </a:ln>
                  </pic:spPr>
                </pic:pic>
              </a:graphicData>
            </a:graphic>
          </wp:inline>
        </w:drawing>
      </w:r>
    </w:p>
    <w:p w:rsidR="000A78EF" w:rsidRDefault="000A78EF" w:rsidP="000A78EF">
      <w:pPr>
        <w:framePr w:w="2186" w:h="255" w:wrap="auto" w:hAnchor="margin" w:x="643" w:y="1087"/>
      </w:pPr>
      <w:r>
        <w:rPr>
          <w:noProof/>
          <w:position w:val="-7"/>
          <w:lang w:eastAsia="ru-RU"/>
        </w:rPr>
        <w:drawing>
          <wp:inline distT="0" distB="0" distL="0" distR="0" wp14:anchorId="6C619BBD" wp14:editId="77A08144">
            <wp:extent cx="286385" cy="163830"/>
            <wp:effectExtent l="0" t="0" r="0" b="7620"/>
            <wp:docPr id="1143" name="Рисунок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6385" cy="163830"/>
                    </a:xfrm>
                    <a:prstGeom prst="rect">
                      <a:avLst/>
                    </a:prstGeom>
                    <a:noFill/>
                    <a:ln>
                      <a:noFill/>
                    </a:ln>
                  </pic:spPr>
                </pic:pic>
              </a:graphicData>
            </a:graphic>
          </wp:inline>
        </w:drawing>
      </w:r>
    </w:p>
    <w:p w:rsidR="000A78EF" w:rsidRDefault="000A78EF" w:rsidP="000A78EF">
      <w:pPr>
        <w:framePr w:w="3941" w:h="255" w:wrap="auto" w:hAnchor="margin" w:x="643" w:y="1821"/>
      </w:pPr>
      <w:r>
        <w:rPr>
          <w:noProof/>
          <w:position w:val="-7"/>
          <w:lang w:eastAsia="ru-RU"/>
        </w:rPr>
        <w:drawing>
          <wp:inline distT="0" distB="0" distL="0" distR="0" wp14:anchorId="638C0536" wp14:editId="0DB0DE09">
            <wp:extent cx="1405890" cy="163830"/>
            <wp:effectExtent l="0" t="0" r="3810" b="7620"/>
            <wp:docPr id="1142" name="Рисунок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05890" cy="163830"/>
                    </a:xfrm>
                    <a:prstGeom prst="rect">
                      <a:avLst/>
                    </a:prstGeom>
                    <a:noFill/>
                    <a:ln>
                      <a:noFill/>
                    </a:ln>
                  </pic:spPr>
                </pic:pic>
              </a:graphicData>
            </a:graphic>
          </wp:inline>
        </w:drawing>
      </w:r>
    </w:p>
    <w:p w:rsidR="000A78EF" w:rsidRDefault="000A78EF" w:rsidP="000A78EF">
      <w:pPr>
        <w:framePr w:w="2185" w:h="360" w:wrap="auto" w:hAnchor="margin" w:x="643" w:y="2311"/>
      </w:pPr>
      <w:r>
        <w:rPr>
          <w:noProof/>
          <w:position w:val="-18"/>
          <w:lang w:eastAsia="ru-RU"/>
        </w:rPr>
        <w:drawing>
          <wp:inline distT="0" distB="0" distL="0" distR="0" wp14:anchorId="5542A495" wp14:editId="78B0D37F">
            <wp:extent cx="491490" cy="231775"/>
            <wp:effectExtent l="0" t="0" r="3810" b="0"/>
            <wp:docPr id="1141" name="Рисунок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91490" cy="231775"/>
                    </a:xfrm>
                    <a:prstGeom prst="rect">
                      <a:avLst/>
                    </a:prstGeom>
                    <a:noFill/>
                    <a:ln>
                      <a:noFill/>
                    </a:ln>
                  </pic:spPr>
                </pic:pic>
              </a:graphicData>
            </a:graphic>
          </wp:inline>
        </w:drawing>
      </w:r>
    </w:p>
    <w:p w:rsidR="000A78EF" w:rsidRDefault="000A78EF" w:rsidP="000A78EF">
      <w:pPr>
        <w:framePr w:w="2035" w:h="360" w:wrap="auto" w:hAnchor="margin" w:x="643" w:y="2800"/>
      </w:pPr>
      <w:r>
        <w:rPr>
          <w:noProof/>
          <w:position w:val="-18"/>
          <w:lang w:eastAsia="ru-RU"/>
        </w:rPr>
        <w:drawing>
          <wp:inline distT="0" distB="0" distL="0" distR="0" wp14:anchorId="32AEBA81" wp14:editId="7435BB01">
            <wp:extent cx="395605" cy="231775"/>
            <wp:effectExtent l="0" t="0" r="4445" b="0"/>
            <wp:docPr id="1140" name="Рисунок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95605" cy="231775"/>
                    </a:xfrm>
                    <a:prstGeom prst="rect">
                      <a:avLst/>
                    </a:prstGeom>
                    <a:noFill/>
                    <a:ln>
                      <a:noFill/>
                    </a:ln>
                  </pic:spPr>
                </pic:pic>
              </a:graphicData>
            </a:graphic>
          </wp:inline>
        </w:drawing>
      </w:r>
    </w:p>
    <w:p w:rsidR="000A78EF" w:rsidRDefault="000A78EF" w:rsidP="000A78EF">
      <w:pPr>
        <w:framePr w:w="2817" w:h="795" w:wrap="auto" w:hAnchor="margin" w:x="643" w:y="3412"/>
      </w:pPr>
      <w:r>
        <w:rPr>
          <w:noProof/>
          <w:position w:val="-61"/>
          <w:lang w:eastAsia="ru-RU"/>
        </w:rPr>
        <w:drawing>
          <wp:inline distT="0" distB="0" distL="0" distR="0" wp14:anchorId="4C5414E4" wp14:editId="50B24E83">
            <wp:extent cx="1364615" cy="504825"/>
            <wp:effectExtent l="0" t="0" r="6985" b="9525"/>
            <wp:docPr id="1139" name="Рисунок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64615" cy="504825"/>
                    </a:xfrm>
                    <a:prstGeom prst="rect">
                      <a:avLst/>
                    </a:prstGeom>
                    <a:noFill/>
                    <a:ln>
                      <a:noFill/>
                    </a:ln>
                  </pic:spPr>
                </pic:pic>
              </a:graphicData>
            </a:graphic>
          </wp:inline>
        </w:drawing>
      </w:r>
    </w:p>
    <w:p w:rsidR="000A78EF" w:rsidRDefault="000A78EF" w:rsidP="000A78EF">
      <w:pPr>
        <w:framePr w:w="4319" w:h="1305" w:wrap="auto" w:hAnchor="margin" w:x="643" w:y="4285"/>
      </w:pPr>
      <w:r>
        <w:rPr>
          <w:noProof/>
          <w:position w:val="-42"/>
          <w:lang w:eastAsia="ru-RU"/>
        </w:rPr>
        <w:drawing>
          <wp:inline distT="0" distB="0" distL="0" distR="0" wp14:anchorId="637ACFB4" wp14:editId="797F1D9B">
            <wp:extent cx="2484120" cy="832485"/>
            <wp:effectExtent l="0" t="0" r="0" b="5715"/>
            <wp:docPr id="1138" name="Рисунок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484120" cy="832485"/>
                    </a:xfrm>
                    <a:prstGeom prst="rect">
                      <a:avLst/>
                    </a:prstGeom>
                    <a:noFill/>
                    <a:ln>
                      <a:noFill/>
                    </a:ln>
                  </pic:spPr>
                </pic:pic>
              </a:graphicData>
            </a:graphic>
          </wp:inline>
        </w:drawing>
      </w:r>
    </w:p>
    <w:p w:rsidR="000A78EF" w:rsidRDefault="000A78EF" w:rsidP="000A78EF">
      <w:pPr>
        <w:framePr w:w="3020" w:h="1185" w:wrap="auto" w:hAnchor="margin" w:x="643" w:y="6075"/>
      </w:pPr>
      <w:r>
        <w:rPr>
          <w:noProof/>
          <w:position w:val="-37"/>
          <w:lang w:eastAsia="ru-RU"/>
        </w:rPr>
        <w:drawing>
          <wp:inline distT="0" distB="0" distL="0" distR="0" wp14:anchorId="1C9FAEC2" wp14:editId="35000E16">
            <wp:extent cx="1637665" cy="750570"/>
            <wp:effectExtent l="0" t="0" r="635" b="0"/>
            <wp:docPr id="1137" name="Рисунок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37665" cy="750570"/>
                    </a:xfrm>
                    <a:prstGeom prst="rect">
                      <a:avLst/>
                    </a:prstGeom>
                    <a:noFill/>
                    <a:ln>
                      <a:noFill/>
                    </a:ln>
                  </pic:spPr>
                </pic:pic>
              </a:graphicData>
            </a:graphic>
          </wp:inline>
        </w:drawing>
      </w:r>
    </w:p>
    <w:p w:rsidR="000A78EF" w:rsidRDefault="000A78EF" w:rsidP="000A78EF">
      <w:pPr>
        <w:framePr w:w="2351" w:h="255" w:wrap="auto" w:hAnchor="margin" w:x="643" w:y="8064"/>
      </w:pPr>
      <w:r>
        <w:rPr>
          <w:noProof/>
          <w:position w:val="-7"/>
          <w:lang w:eastAsia="ru-RU"/>
        </w:rPr>
        <w:drawing>
          <wp:inline distT="0" distB="0" distL="0" distR="0" wp14:anchorId="5E293204" wp14:editId="6D709CFD">
            <wp:extent cx="395605" cy="163830"/>
            <wp:effectExtent l="0" t="0" r="4445" b="7620"/>
            <wp:docPr id="1136" name="Рисунок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95605" cy="163830"/>
                    </a:xfrm>
                    <a:prstGeom prst="rect">
                      <a:avLst/>
                    </a:prstGeom>
                    <a:noFill/>
                    <a:ln>
                      <a:noFill/>
                    </a:ln>
                  </pic:spPr>
                </pic:pic>
              </a:graphicData>
            </a:graphic>
          </wp:inline>
        </w:drawing>
      </w:r>
    </w:p>
    <w:p w:rsidR="000A78EF" w:rsidRDefault="000A78EF" w:rsidP="000A78EF">
      <w:pPr>
        <w:framePr w:w="2741" w:h="255" w:wrap="auto" w:hAnchor="margin" w:x="643" w:y="8553"/>
      </w:pPr>
      <w:r>
        <w:rPr>
          <w:noProof/>
          <w:position w:val="-7"/>
          <w:lang w:eastAsia="ru-RU"/>
        </w:rPr>
        <w:drawing>
          <wp:inline distT="0" distB="0" distL="0" distR="0" wp14:anchorId="14439870" wp14:editId="003BC434">
            <wp:extent cx="641350" cy="163830"/>
            <wp:effectExtent l="0" t="0" r="6350" b="7620"/>
            <wp:docPr id="1135" name="Рисунок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41350" cy="163830"/>
                    </a:xfrm>
                    <a:prstGeom prst="rect">
                      <a:avLst/>
                    </a:prstGeom>
                    <a:noFill/>
                    <a:ln>
                      <a:noFill/>
                    </a:ln>
                  </pic:spPr>
                </pic:pic>
              </a:graphicData>
            </a:graphic>
          </wp:inline>
        </w:drawing>
      </w:r>
    </w:p>
    <w:p w:rsidR="000A78EF" w:rsidRDefault="000A78EF" w:rsidP="000A78EF">
      <w:pPr>
        <w:framePr w:w="2336" w:h="255" w:wrap="auto" w:hAnchor="margin" w:x="643" w:y="9043"/>
      </w:pPr>
      <w:r>
        <w:rPr>
          <w:noProof/>
          <w:position w:val="-7"/>
          <w:lang w:eastAsia="ru-RU"/>
        </w:rPr>
        <w:drawing>
          <wp:inline distT="0" distB="0" distL="0" distR="0" wp14:anchorId="0FE2A542" wp14:editId="04EA8875">
            <wp:extent cx="382270" cy="163830"/>
            <wp:effectExtent l="0" t="0" r="0" b="7620"/>
            <wp:docPr id="1134" name="Рисунок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2270" cy="163830"/>
                    </a:xfrm>
                    <a:prstGeom prst="rect">
                      <a:avLst/>
                    </a:prstGeom>
                    <a:noFill/>
                    <a:ln>
                      <a:noFill/>
                    </a:ln>
                  </pic:spPr>
                </pic:pic>
              </a:graphicData>
            </a:graphic>
          </wp:inline>
        </w:drawing>
      </w:r>
    </w:p>
    <w:p w:rsidR="000A78EF" w:rsidRDefault="000A78EF" w:rsidP="000A78EF">
      <w:pPr>
        <w:framePr w:w="2478" w:h="555" w:wrap="auto" w:hAnchor="margin" w:x="643" w:y="9395"/>
      </w:pPr>
      <w:r>
        <w:rPr>
          <w:noProof/>
          <w:position w:val="-24"/>
          <w:lang w:eastAsia="ru-RU"/>
        </w:rPr>
        <w:drawing>
          <wp:inline distT="0" distB="0" distL="0" distR="0" wp14:anchorId="3481AA2E" wp14:editId="6D6A8327">
            <wp:extent cx="955040" cy="354965"/>
            <wp:effectExtent l="0" t="0" r="0" b="6985"/>
            <wp:docPr id="1133" name="Рисунок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55040" cy="354965"/>
                    </a:xfrm>
                    <a:prstGeom prst="rect">
                      <a:avLst/>
                    </a:prstGeom>
                    <a:noFill/>
                    <a:ln>
                      <a:noFill/>
                    </a:ln>
                  </pic:spPr>
                </pic:pic>
              </a:graphicData>
            </a:graphic>
          </wp:inline>
        </w:drawing>
      </w:r>
    </w:p>
    <w:p w:rsidR="000A78EF" w:rsidRDefault="000A78EF" w:rsidP="000A78EF">
      <w:pPr>
        <w:framePr w:w="4469" w:h="1305" w:wrap="auto" w:hAnchor="margin" w:x="643" w:y="10282"/>
      </w:pPr>
      <w:r>
        <w:rPr>
          <w:noProof/>
          <w:position w:val="-42"/>
          <w:lang w:eastAsia="ru-RU"/>
        </w:rPr>
        <w:drawing>
          <wp:inline distT="0" distB="0" distL="0" distR="0" wp14:anchorId="2A36566C" wp14:editId="019E2C41">
            <wp:extent cx="2579370" cy="832485"/>
            <wp:effectExtent l="0" t="0" r="0" b="5715"/>
            <wp:docPr id="1132" name="Рисунок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579370" cy="832485"/>
                    </a:xfrm>
                    <a:prstGeom prst="rect">
                      <a:avLst/>
                    </a:prstGeom>
                    <a:noFill/>
                    <a:ln>
                      <a:noFill/>
                    </a:ln>
                  </pic:spPr>
                </pic:pic>
              </a:graphicData>
            </a:graphic>
          </wp:inline>
        </w:drawing>
      </w:r>
    </w:p>
    <w:p w:rsidR="000A78EF" w:rsidRDefault="000A78EF" w:rsidP="000A78EF">
      <w:pPr>
        <w:framePr w:w="3170" w:h="1185" w:wrap="auto" w:hAnchor="margin" w:x="643" w:y="11950"/>
      </w:pPr>
      <w:r>
        <w:rPr>
          <w:noProof/>
          <w:position w:val="-37"/>
          <w:lang w:eastAsia="ru-RU"/>
        </w:rPr>
        <w:drawing>
          <wp:inline distT="0" distB="0" distL="0" distR="0" wp14:anchorId="2C1463E0" wp14:editId="25484CF0">
            <wp:extent cx="1733550" cy="750570"/>
            <wp:effectExtent l="0" t="0" r="0" b="0"/>
            <wp:docPr id="1131" name="Рисунок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733550" cy="750570"/>
                    </a:xfrm>
                    <a:prstGeom prst="rect">
                      <a:avLst/>
                    </a:prstGeom>
                    <a:noFill/>
                    <a:ln>
                      <a:noFill/>
                    </a:ln>
                  </pic:spPr>
                </pic:pic>
              </a:graphicData>
            </a:graphic>
          </wp:inline>
        </w:drawing>
      </w:r>
    </w:p>
    <w:p w:rsidR="000A78EF" w:rsidRDefault="000A78EF" w:rsidP="000A78EF">
      <w:r>
        <w:br w:type="page"/>
      </w:r>
    </w:p>
    <w:p w:rsidR="000A78EF" w:rsidRDefault="000A78EF" w:rsidP="000A78EF">
      <w:pPr>
        <w:framePr w:w="2396" w:h="255" w:wrap="auto" w:hAnchor="margin" w:x="643" w:y="643"/>
      </w:pPr>
      <w:r>
        <w:rPr>
          <w:noProof/>
          <w:position w:val="-7"/>
          <w:lang w:eastAsia="ru-RU"/>
        </w:rPr>
        <w:lastRenderedPageBreak/>
        <w:drawing>
          <wp:inline distT="0" distB="0" distL="0" distR="0" wp14:anchorId="61BC59E1" wp14:editId="11D10843">
            <wp:extent cx="422910" cy="163830"/>
            <wp:effectExtent l="0" t="0" r="0" b="7620"/>
            <wp:docPr id="1130"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22910" cy="163830"/>
                    </a:xfrm>
                    <a:prstGeom prst="rect">
                      <a:avLst/>
                    </a:prstGeom>
                    <a:noFill/>
                    <a:ln>
                      <a:noFill/>
                    </a:ln>
                  </pic:spPr>
                </pic:pic>
              </a:graphicData>
            </a:graphic>
          </wp:inline>
        </w:drawing>
      </w:r>
    </w:p>
    <w:p w:rsidR="000A78EF" w:rsidRDefault="000A78EF" w:rsidP="000A78EF">
      <w:pPr>
        <w:framePr w:w="8490" w:h="6195" w:wrap="auto" w:hAnchor="margin" w:x="129" w:y="1806"/>
      </w:pPr>
      <w:r>
        <w:rPr>
          <w:noProof/>
          <w:position w:val="-619"/>
          <w:lang w:eastAsia="ru-RU"/>
        </w:rPr>
        <w:drawing>
          <wp:inline distT="0" distB="0" distL="0" distR="0" wp14:anchorId="1B36A358" wp14:editId="1A2538DE">
            <wp:extent cx="5200015" cy="3930650"/>
            <wp:effectExtent l="0" t="0" r="0" b="0"/>
            <wp:docPr id="1129" name="Рисунок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200015" cy="3930650"/>
                    </a:xfrm>
                    <a:prstGeom prst="rect">
                      <a:avLst/>
                    </a:prstGeom>
                    <a:noFill/>
                    <a:ln>
                      <a:noFill/>
                    </a:ln>
                  </pic:spPr>
                </pic:pic>
              </a:graphicData>
            </a:graphic>
          </wp:inline>
        </w:drawing>
      </w:r>
    </w:p>
    <w:p w:rsidR="000A78EF" w:rsidRDefault="000A78EF" w:rsidP="000A78EF">
      <w:pPr>
        <w:framePr w:w="2249" w:h="375" w:wrap="auto" w:hAnchor="margin" w:x="771" w:y="8232"/>
      </w:pPr>
      <w:r>
        <w:rPr>
          <w:noProof/>
          <w:position w:val="-7"/>
          <w:lang w:eastAsia="ru-RU"/>
        </w:rPr>
        <w:drawing>
          <wp:inline distT="0" distB="0" distL="0" distR="0" wp14:anchorId="21036495" wp14:editId="1A3669FE">
            <wp:extent cx="559435" cy="231775"/>
            <wp:effectExtent l="0" t="0" r="0" b="0"/>
            <wp:docPr id="1128" name="Рисунок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59435" cy="231775"/>
                    </a:xfrm>
                    <a:prstGeom prst="rect">
                      <a:avLst/>
                    </a:prstGeom>
                    <a:noFill/>
                    <a:ln>
                      <a:noFill/>
                    </a:ln>
                  </pic:spPr>
                </pic:pic>
              </a:graphicData>
            </a:graphic>
          </wp:inline>
        </w:drawing>
      </w:r>
    </w:p>
    <w:p w:rsidR="000A78EF" w:rsidRDefault="000A78EF" w:rsidP="000A78EF">
      <w:pPr>
        <w:framePr w:w="4518" w:h="555" w:wrap="auto" w:hAnchor="margin" w:x="771" w:y="9196"/>
      </w:pPr>
      <w:r>
        <w:rPr>
          <w:noProof/>
          <w:position w:val="-24"/>
          <w:lang w:eastAsia="ru-RU"/>
        </w:rPr>
        <w:drawing>
          <wp:inline distT="0" distB="0" distL="0" distR="0" wp14:anchorId="348D0227" wp14:editId="20985395">
            <wp:extent cx="2251710" cy="354965"/>
            <wp:effectExtent l="0" t="0" r="0" b="6985"/>
            <wp:docPr id="1127" name="Рисунок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251710" cy="354965"/>
                    </a:xfrm>
                    <a:prstGeom prst="rect">
                      <a:avLst/>
                    </a:prstGeom>
                    <a:noFill/>
                    <a:ln>
                      <a:noFill/>
                    </a:ln>
                  </pic:spPr>
                </pic:pic>
              </a:graphicData>
            </a:graphic>
          </wp:inline>
        </w:drawing>
      </w:r>
    </w:p>
    <w:p w:rsidR="000A78EF" w:rsidRDefault="000A78EF" w:rsidP="000A78EF">
      <w:pPr>
        <w:framePr w:w="6963" w:h="1290" w:wrap="auto" w:hAnchor="margin" w:x="771" w:y="10221"/>
      </w:pPr>
      <w:r>
        <w:rPr>
          <w:noProof/>
          <w:position w:val="-54"/>
          <w:lang w:eastAsia="ru-RU"/>
        </w:rPr>
        <w:drawing>
          <wp:inline distT="0" distB="0" distL="0" distR="0" wp14:anchorId="0ECB4490" wp14:editId="2711FC17">
            <wp:extent cx="4162425" cy="819150"/>
            <wp:effectExtent l="0" t="0" r="9525" b="0"/>
            <wp:docPr id="1126" name="Рисунок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162425" cy="819150"/>
                    </a:xfrm>
                    <a:prstGeom prst="rect">
                      <a:avLst/>
                    </a:prstGeom>
                    <a:noFill/>
                    <a:ln>
                      <a:noFill/>
                    </a:ln>
                  </pic:spPr>
                </pic:pic>
              </a:graphicData>
            </a:graphic>
          </wp:inline>
        </w:drawing>
      </w:r>
    </w:p>
    <w:p w:rsidR="000A78EF" w:rsidRDefault="000A78EF" w:rsidP="000A78EF">
      <w:pPr>
        <w:framePr w:w="4653" w:h="555" w:wrap="auto" w:hAnchor="margin" w:x="771" w:y="12133"/>
      </w:pPr>
      <w:r>
        <w:rPr>
          <w:noProof/>
          <w:position w:val="-24"/>
          <w:lang w:eastAsia="ru-RU"/>
        </w:rPr>
        <w:drawing>
          <wp:inline distT="0" distB="0" distL="0" distR="0" wp14:anchorId="7800C589" wp14:editId="50A7080A">
            <wp:extent cx="2333625" cy="354965"/>
            <wp:effectExtent l="0" t="0" r="9525" b="6985"/>
            <wp:docPr id="1125" name="Рисунок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333625" cy="354965"/>
                    </a:xfrm>
                    <a:prstGeom prst="rect">
                      <a:avLst/>
                    </a:prstGeom>
                    <a:noFill/>
                    <a:ln>
                      <a:noFill/>
                    </a:ln>
                  </pic:spPr>
                </pic:pic>
              </a:graphicData>
            </a:graphic>
          </wp:inline>
        </w:drawing>
      </w:r>
    </w:p>
    <w:p w:rsidR="000A78EF" w:rsidRDefault="000A78EF" w:rsidP="000A78EF">
      <w:r>
        <w:br w:type="page"/>
      </w:r>
    </w:p>
    <w:p w:rsidR="000A78EF" w:rsidRDefault="000A78EF" w:rsidP="000A78EF">
      <w:pPr>
        <w:framePr w:w="6963" w:h="1290" w:wrap="auto" w:hAnchor="margin" w:x="771" w:y="597"/>
      </w:pPr>
      <w:r>
        <w:rPr>
          <w:noProof/>
          <w:position w:val="-54"/>
          <w:lang w:eastAsia="ru-RU"/>
        </w:rPr>
        <w:lastRenderedPageBreak/>
        <w:drawing>
          <wp:inline distT="0" distB="0" distL="0" distR="0" wp14:anchorId="32EC376F" wp14:editId="2B1761F6">
            <wp:extent cx="4162425" cy="819150"/>
            <wp:effectExtent l="0" t="0" r="9525" b="0"/>
            <wp:docPr id="1124" name="Рисунок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162425" cy="819150"/>
                    </a:xfrm>
                    <a:prstGeom prst="rect">
                      <a:avLst/>
                    </a:prstGeom>
                    <a:noFill/>
                    <a:ln>
                      <a:noFill/>
                    </a:ln>
                  </pic:spPr>
                </pic:pic>
              </a:graphicData>
            </a:graphic>
          </wp:inline>
        </w:drawing>
      </w:r>
    </w:p>
    <w:p w:rsidR="000A78EF" w:rsidRDefault="000A78EF" w:rsidP="000A78EF">
      <w:pPr>
        <w:framePr w:w="3175" w:h="360" w:wrap="auto" w:hAnchor="margin" w:x="771" w:y="2647"/>
      </w:pPr>
      <w:r>
        <w:rPr>
          <w:noProof/>
          <w:position w:val="-18"/>
          <w:lang w:eastAsia="ru-RU"/>
        </w:rPr>
        <w:drawing>
          <wp:inline distT="0" distB="0" distL="0" distR="0" wp14:anchorId="3B15DC88" wp14:editId="50BA0FCB">
            <wp:extent cx="1118870" cy="231775"/>
            <wp:effectExtent l="0" t="0" r="5080" b="0"/>
            <wp:docPr id="1123" name="Рисунок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118870" cy="231775"/>
                    </a:xfrm>
                    <a:prstGeom prst="rect">
                      <a:avLst/>
                    </a:prstGeom>
                    <a:noFill/>
                    <a:ln>
                      <a:noFill/>
                    </a:ln>
                  </pic:spPr>
                </pic:pic>
              </a:graphicData>
            </a:graphic>
          </wp:inline>
        </w:drawing>
      </w:r>
    </w:p>
    <w:p w:rsidR="000A78EF" w:rsidRDefault="000A78EF" w:rsidP="000A78EF">
      <w:pPr>
        <w:framePr w:w="1381" w:h="3150" w:wrap="auto" w:hAnchor="margin" w:x="771" w:y="3504"/>
      </w:pPr>
      <w:r>
        <w:rPr>
          <w:noProof/>
          <w:position w:val="-297"/>
          <w:lang w:eastAsia="ru-RU"/>
        </w:rPr>
        <w:drawing>
          <wp:inline distT="0" distB="0" distL="0" distR="0" wp14:anchorId="0CFCB60A" wp14:editId="55E0688F">
            <wp:extent cx="682625" cy="2005965"/>
            <wp:effectExtent l="0" t="0" r="0" b="0"/>
            <wp:docPr id="1122" name="Рисунок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82625" cy="2005965"/>
                    </a:xfrm>
                    <a:prstGeom prst="rect">
                      <a:avLst/>
                    </a:prstGeom>
                    <a:noFill/>
                    <a:ln>
                      <a:noFill/>
                    </a:ln>
                  </pic:spPr>
                </pic:pic>
              </a:graphicData>
            </a:graphic>
          </wp:inline>
        </w:drawing>
      </w: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p>
    <w:p w:rsidR="000A78EF" w:rsidRDefault="000A78EF" w:rsidP="000A78EF">
      <w:pPr>
        <w:rPr>
          <w:rFonts w:ascii="Times New Roman" w:hAnsi="Times New Roman" w:cs="Times New Roman"/>
          <w:sz w:val="28"/>
          <w:szCs w:val="28"/>
        </w:rPr>
      </w:pPr>
      <w:r>
        <w:rPr>
          <w:rFonts w:ascii="Times New Roman" w:hAnsi="Times New Roman" w:cs="Times New Roman"/>
          <w:sz w:val="28"/>
          <w:szCs w:val="28"/>
        </w:rPr>
        <w:lastRenderedPageBreak/>
        <w:t>Часть 3: нахождение интервала предпочтений неэффективности рынка</w:t>
      </w:r>
    </w:p>
    <w:p w:rsidR="000A78EF" w:rsidRDefault="000A78EF" w:rsidP="000A78EF">
      <w:pPr>
        <w:framePr w:w="4051" w:h="1155" w:wrap="auto" w:vAnchor="page" w:hAnchor="page" w:x="6858" w:y="8855"/>
      </w:pPr>
      <w:r>
        <w:rPr>
          <w:noProof/>
          <w:position w:val="-97"/>
          <w:lang w:eastAsia="ru-RU"/>
        </w:rPr>
        <w:drawing>
          <wp:anchor distT="0" distB="0" distL="114300" distR="114300" simplePos="0" relativeHeight="251740160" behindDoc="1" locked="0" layoutInCell="1" allowOverlap="1" wp14:anchorId="1D18285E" wp14:editId="42D15FA3">
            <wp:simplePos x="0" y="0"/>
            <wp:positionH relativeFrom="column">
              <wp:posOffset>-3810</wp:posOffset>
            </wp:positionH>
            <wp:positionV relativeFrom="paragraph">
              <wp:posOffset>5080</wp:posOffset>
            </wp:positionV>
            <wp:extent cx="2292985" cy="737235"/>
            <wp:effectExtent l="0" t="0" r="0" b="5715"/>
            <wp:wrapTight wrapText="bothSides">
              <wp:wrapPolygon edited="0">
                <wp:start x="0" y="0"/>
                <wp:lineTo x="0" y="3349"/>
                <wp:lineTo x="2153" y="10047"/>
                <wp:lineTo x="2871" y="10047"/>
                <wp:lineTo x="2871" y="21209"/>
                <wp:lineTo x="21355" y="21209"/>
                <wp:lineTo x="21355" y="3349"/>
                <wp:lineTo x="1077" y="0"/>
                <wp:lineTo x="0" y="0"/>
              </wp:wrapPolygon>
            </wp:wrapTight>
            <wp:docPr id="1178" name="Рисунок 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292985" cy="737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78EF" w:rsidRDefault="000A78EF" w:rsidP="000A78EF">
      <w:pPr>
        <w:framePr w:w="3901" w:h="1155" w:wrap="auto" w:hAnchor="margin" w:x="257" w:y="1286"/>
      </w:pPr>
      <w:r>
        <w:rPr>
          <w:noProof/>
          <w:position w:val="-97"/>
          <w:lang w:eastAsia="ru-RU"/>
        </w:rPr>
        <w:drawing>
          <wp:inline distT="0" distB="0" distL="0" distR="0" wp14:anchorId="754EC09C" wp14:editId="69401D0D">
            <wp:extent cx="2197100" cy="737235"/>
            <wp:effectExtent l="0" t="0" r="0" b="5715"/>
            <wp:docPr id="1177" name="Рисунок 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197100" cy="737235"/>
                    </a:xfrm>
                    <a:prstGeom prst="rect">
                      <a:avLst/>
                    </a:prstGeom>
                    <a:noFill/>
                    <a:ln>
                      <a:noFill/>
                    </a:ln>
                  </pic:spPr>
                </pic:pic>
              </a:graphicData>
            </a:graphic>
          </wp:inline>
        </w:drawing>
      </w:r>
    </w:p>
    <w:p w:rsidR="000A78EF" w:rsidRDefault="000A78EF" w:rsidP="000A78EF">
      <w:pPr>
        <w:framePr w:w="4051" w:h="1155" w:wrap="auto" w:hAnchor="margin" w:x="4366" w:y="1286"/>
      </w:pPr>
      <w:r>
        <w:rPr>
          <w:noProof/>
          <w:position w:val="-97"/>
          <w:lang w:eastAsia="ru-RU"/>
        </w:rPr>
        <w:drawing>
          <wp:inline distT="0" distB="0" distL="0" distR="0" wp14:anchorId="5BA769A4" wp14:editId="408CA453">
            <wp:extent cx="2292985" cy="737235"/>
            <wp:effectExtent l="0" t="0" r="0" b="5715"/>
            <wp:docPr id="1176" name="Рисунок 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292985" cy="737235"/>
                    </a:xfrm>
                    <a:prstGeom prst="rect">
                      <a:avLst/>
                    </a:prstGeom>
                    <a:noFill/>
                    <a:ln>
                      <a:noFill/>
                    </a:ln>
                  </pic:spPr>
                </pic:pic>
              </a:graphicData>
            </a:graphic>
          </wp:inline>
        </w:drawing>
      </w:r>
    </w:p>
    <w:p w:rsidR="000A78EF" w:rsidRDefault="000A78EF" w:rsidP="000A78EF">
      <w:pPr>
        <w:framePr w:w="4126" w:h="1155" w:wrap="auto" w:hAnchor="margin" w:x="257" w:y="2510"/>
      </w:pPr>
      <w:r>
        <w:rPr>
          <w:noProof/>
          <w:position w:val="-97"/>
          <w:lang w:eastAsia="ru-RU"/>
        </w:rPr>
        <w:drawing>
          <wp:inline distT="0" distB="0" distL="0" distR="0" wp14:anchorId="6E88E5A2" wp14:editId="14DE5DC2">
            <wp:extent cx="2333625" cy="737235"/>
            <wp:effectExtent l="0" t="0" r="9525" b="5715"/>
            <wp:docPr id="1175" name="Рисунок 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333625" cy="737235"/>
                    </a:xfrm>
                    <a:prstGeom prst="rect">
                      <a:avLst/>
                    </a:prstGeom>
                    <a:noFill/>
                    <a:ln>
                      <a:noFill/>
                    </a:ln>
                  </pic:spPr>
                </pic:pic>
              </a:graphicData>
            </a:graphic>
          </wp:inline>
        </w:drawing>
      </w:r>
    </w:p>
    <w:p w:rsidR="000A78EF" w:rsidRDefault="000A78EF" w:rsidP="000A78EF">
      <w:pPr>
        <w:framePr w:w="4126" w:h="1155" w:wrap="auto" w:hAnchor="margin" w:x="4366" w:y="2510"/>
      </w:pPr>
      <w:r>
        <w:rPr>
          <w:noProof/>
          <w:position w:val="-97"/>
          <w:lang w:eastAsia="ru-RU"/>
        </w:rPr>
        <w:drawing>
          <wp:inline distT="0" distB="0" distL="0" distR="0" wp14:anchorId="31BF9027" wp14:editId="1D09F63F">
            <wp:extent cx="2333625" cy="737235"/>
            <wp:effectExtent l="0" t="0" r="9525" b="5715"/>
            <wp:docPr id="1174" name="Рисунок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333625" cy="737235"/>
                    </a:xfrm>
                    <a:prstGeom prst="rect">
                      <a:avLst/>
                    </a:prstGeom>
                    <a:noFill/>
                    <a:ln>
                      <a:noFill/>
                    </a:ln>
                  </pic:spPr>
                </pic:pic>
              </a:graphicData>
            </a:graphic>
          </wp:inline>
        </w:drawing>
      </w:r>
    </w:p>
    <w:p w:rsidR="000A78EF" w:rsidRDefault="000A78EF" w:rsidP="000A78EF">
      <w:pPr>
        <w:framePr w:w="4126" w:h="1155" w:wrap="auto" w:hAnchor="margin" w:x="257" w:y="3734"/>
      </w:pPr>
      <w:r>
        <w:rPr>
          <w:noProof/>
          <w:position w:val="-97"/>
          <w:lang w:eastAsia="ru-RU"/>
        </w:rPr>
        <w:drawing>
          <wp:inline distT="0" distB="0" distL="0" distR="0" wp14:anchorId="22388CB4" wp14:editId="6E7AA99C">
            <wp:extent cx="2333625" cy="737235"/>
            <wp:effectExtent l="0" t="0" r="9525" b="5715"/>
            <wp:docPr id="1173" name="Рисунок 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333625" cy="737235"/>
                    </a:xfrm>
                    <a:prstGeom prst="rect">
                      <a:avLst/>
                    </a:prstGeom>
                    <a:noFill/>
                    <a:ln>
                      <a:noFill/>
                    </a:ln>
                  </pic:spPr>
                </pic:pic>
              </a:graphicData>
            </a:graphic>
          </wp:inline>
        </w:drawing>
      </w:r>
    </w:p>
    <w:p w:rsidR="000A78EF" w:rsidRDefault="000A78EF" w:rsidP="000A78EF">
      <w:pPr>
        <w:framePr w:w="4126" w:h="1155" w:wrap="auto" w:hAnchor="margin" w:x="4366" w:y="3734"/>
      </w:pPr>
      <w:r>
        <w:rPr>
          <w:noProof/>
          <w:position w:val="-97"/>
          <w:lang w:eastAsia="ru-RU"/>
        </w:rPr>
        <w:drawing>
          <wp:inline distT="0" distB="0" distL="0" distR="0" wp14:anchorId="72C9A5CD" wp14:editId="3CEAAB79">
            <wp:extent cx="2333625" cy="737235"/>
            <wp:effectExtent l="0" t="0" r="9525" b="5715"/>
            <wp:docPr id="1172" name="Рисунок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333625" cy="737235"/>
                    </a:xfrm>
                    <a:prstGeom prst="rect">
                      <a:avLst/>
                    </a:prstGeom>
                    <a:noFill/>
                    <a:ln>
                      <a:noFill/>
                    </a:ln>
                  </pic:spPr>
                </pic:pic>
              </a:graphicData>
            </a:graphic>
          </wp:inline>
        </w:drawing>
      </w:r>
    </w:p>
    <w:p w:rsidR="000A78EF" w:rsidRDefault="000A78EF" w:rsidP="000A78EF">
      <w:pPr>
        <w:framePr w:w="4216" w:h="1155" w:wrap="auto" w:hAnchor="margin" w:x="2440" w:y="4958"/>
      </w:pPr>
      <w:r>
        <w:rPr>
          <w:noProof/>
          <w:position w:val="-97"/>
          <w:lang w:eastAsia="ru-RU"/>
        </w:rPr>
        <w:drawing>
          <wp:inline distT="0" distB="0" distL="0" distR="0" wp14:anchorId="11C1207E" wp14:editId="39084BF4">
            <wp:extent cx="2388235" cy="737235"/>
            <wp:effectExtent l="0" t="0" r="0" b="5715"/>
            <wp:docPr id="1171" name="Рисунок 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388235" cy="737235"/>
                    </a:xfrm>
                    <a:prstGeom prst="rect">
                      <a:avLst/>
                    </a:prstGeom>
                    <a:noFill/>
                    <a:ln>
                      <a:noFill/>
                    </a:ln>
                  </pic:spPr>
                </pic:pic>
              </a:graphicData>
            </a:graphic>
          </wp:inline>
        </w:drawing>
      </w:r>
    </w:p>
    <w:p w:rsidR="000A78EF" w:rsidRDefault="000A78EF" w:rsidP="000A78EF">
      <w:pPr>
        <w:framePr w:w="2201" w:h="255" w:wrap="auto" w:hAnchor="margin" w:x="771" w:y="6549"/>
      </w:pPr>
      <w:r>
        <w:rPr>
          <w:noProof/>
          <w:position w:val="-7"/>
          <w:lang w:eastAsia="ru-RU"/>
        </w:rPr>
        <w:drawing>
          <wp:inline distT="0" distB="0" distL="0" distR="0" wp14:anchorId="0E56A2BD" wp14:editId="2CADF0FF">
            <wp:extent cx="300355" cy="163830"/>
            <wp:effectExtent l="0" t="0" r="4445" b="7620"/>
            <wp:docPr id="1170" name="Рисунок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00355" cy="163830"/>
                    </a:xfrm>
                    <a:prstGeom prst="rect">
                      <a:avLst/>
                    </a:prstGeom>
                    <a:noFill/>
                    <a:ln>
                      <a:noFill/>
                    </a:ln>
                  </pic:spPr>
                </pic:pic>
              </a:graphicData>
            </a:graphic>
          </wp:inline>
        </w:drawing>
      </w:r>
    </w:p>
    <w:p w:rsidR="000A78EF" w:rsidRDefault="000A78EF" w:rsidP="000A78EF">
      <w:pPr>
        <w:framePr w:w="2426" w:h="255" w:wrap="auto" w:hAnchor="margin" w:x="771" w:y="6916"/>
      </w:pPr>
      <w:r>
        <w:rPr>
          <w:noProof/>
          <w:position w:val="-7"/>
          <w:lang w:eastAsia="ru-RU"/>
        </w:rPr>
        <w:drawing>
          <wp:inline distT="0" distB="0" distL="0" distR="0" wp14:anchorId="2803334A" wp14:editId="1DD370C2">
            <wp:extent cx="436880" cy="163830"/>
            <wp:effectExtent l="0" t="0" r="1270" b="7620"/>
            <wp:docPr id="1169" name="Рисунок 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36880" cy="163830"/>
                    </a:xfrm>
                    <a:prstGeom prst="rect">
                      <a:avLst/>
                    </a:prstGeom>
                    <a:noFill/>
                    <a:ln>
                      <a:noFill/>
                    </a:ln>
                  </pic:spPr>
                </pic:pic>
              </a:graphicData>
            </a:graphic>
          </wp:inline>
        </w:drawing>
      </w:r>
    </w:p>
    <w:p w:rsidR="000A78EF" w:rsidRDefault="000A78EF" w:rsidP="000A78EF">
      <w:pPr>
        <w:framePr w:w="2231" w:h="255" w:wrap="auto" w:hAnchor="margin" w:x="771" w:y="7528"/>
      </w:pPr>
      <w:r>
        <w:rPr>
          <w:noProof/>
          <w:position w:val="-7"/>
          <w:lang w:eastAsia="ru-RU"/>
        </w:rPr>
        <w:drawing>
          <wp:inline distT="0" distB="0" distL="0" distR="0" wp14:anchorId="539971E8" wp14:editId="40B3AA4C">
            <wp:extent cx="313690" cy="163830"/>
            <wp:effectExtent l="0" t="0" r="0" b="7620"/>
            <wp:docPr id="1168" name="Рисунок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13690" cy="163830"/>
                    </a:xfrm>
                    <a:prstGeom prst="rect">
                      <a:avLst/>
                    </a:prstGeom>
                    <a:noFill/>
                    <a:ln>
                      <a:noFill/>
                    </a:ln>
                  </pic:spPr>
                </pic:pic>
              </a:graphicData>
            </a:graphic>
          </wp:inline>
        </w:drawing>
      </w:r>
    </w:p>
    <w:p w:rsidR="000A78EF" w:rsidRDefault="000A78EF" w:rsidP="000A78EF">
      <w:pPr>
        <w:framePr w:w="2186" w:h="255" w:wrap="auto" w:hAnchor="margin" w:x="771" w:y="7895"/>
      </w:pPr>
      <w:r>
        <w:rPr>
          <w:noProof/>
          <w:position w:val="-7"/>
          <w:lang w:eastAsia="ru-RU"/>
        </w:rPr>
        <w:drawing>
          <wp:inline distT="0" distB="0" distL="0" distR="0" wp14:anchorId="4798F75B" wp14:editId="52563E6A">
            <wp:extent cx="286385" cy="163830"/>
            <wp:effectExtent l="0" t="0" r="0" b="7620"/>
            <wp:docPr id="1167" name="Рисунок 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86385" cy="163830"/>
                    </a:xfrm>
                    <a:prstGeom prst="rect">
                      <a:avLst/>
                    </a:prstGeom>
                    <a:noFill/>
                    <a:ln>
                      <a:noFill/>
                    </a:ln>
                  </pic:spPr>
                </pic:pic>
              </a:graphicData>
            </a:graphic>
          </wp:inline>
        </w:drawing>
      </w:r>
    </w:p>
    <w:p w:rsidR="000A78EF" w:rsidRDefault="000A78EF" w:rsidP="000A78EF">
      <w:pPr>
        <w:framePr w:w="2201" w:h="255" w:wrap="auto" w:hAnchor="margin" w:x="771" w:y="8263"/>
      </w:pPr>
      <w:r>
        <w:rPr>
          <w:noProof/>
          <w:position w:val="-7"/>
          <w:lang w:eastAsia="ru-RU"/>
        </w:rPr>
        <w:drawing>
          <wp:inline distT="0" distB="0" distL="0" distR="0" wp14:anchorId="51A558F9" wp14:editId="4F533AF2">
            <wp:extent cx="300355" cy="163830"/>
            <wp:effectExtent l="0" t="0" r="4445" b="7620"/>
            <wp:docPr id="1166" name="Рисунок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00355" cy="163830"/>
                    </a:xfrm>
                    <a:prstGeom prst="rect">
                      <a:avLst/>
                    </a:prstGeom>
                    <a:noFill/>
                    <a:ln>
                      <a:noFill/>
                    </a:ln>
                  </pic:spPr>
                </pic:pic>
              </a:graphicData>
            </a:graphic>
          </wp:inline>
        </w:drawing>
      </w:r>
    </w:p>
    <w:p w:rsidR="000A78EF" w:rsidRDefault="000A78EF" w:rsidP="000A78EF">
      <w:pPr>
        <w:framePr w:w="2980" w:h="360" w:wrap="auto" w:hAnchor="margin" w:x="771" w:y="8997"/>
      </w:pPr>
      <w:r>
        <w:rPr>
          <w:noProof/>
          <w:position w:val="-18"/>
          <w:lang w:eastAsia="ru-RU"/>
        </w:rPr>
        <w:drawing>
          <wp:inline distT="0" distB="0" distL="0" distR="0" wp14:anchorId="470944BC" wp14:editId="499EAC93">
            <wp:extent cx="996315" cy="231775"/>
            <wp:effectExtent l="0" t="0" r="0" b="0"/>
            <wp:docPr id="1165" name="Рисунок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996315" cy="231775"/>
                    </a:xfrm>
                    <a:prstGeom prst="rect">
                      <a:avLst/>
                    </a:prstGeom>
                    <a:noFill/>
                    <a:ln>
                      <a:noFill/>
                    </a:ln>
                  </pic:spPr>
                </pic:pic>
              </a:graphicData>
            </a:graphic>
          </wp:inline>
        </w:drawing>
      </w:r>
    </w:p>
    <w:p w:rsidR="000A78EF" w:rsidRDefault="000A78EF" w:rsidP="000A78EF">
      <w:pPr>
        <w:framePr w:w="4206" w:h="2415" w:wrap="auto" w:hAnchor="margin" w:x="771" w:y="9823"/>
      </w:pPr>
      <w:r>
        <w:rPr>
          <w:noProof/>
          <w:position w:val="-196"/>
          <w:lang w:eastAsia="ru-RU"/>
        </w:rPr>
        <w:drawing>
          <wp:inline distT="0" distB="0" distL="0" distR="0" wp14:anchorId="674F59CB" wp14:editId="6A34AB24">
            <wp:extent cx="2470150" cy="1528445"/>
            <wp:effectExtent l="0" t="0" r="6350" b="0"/>
            <wp:docPr id="1164" name="Рисунок 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470150" cy="1528445"/>
                    </a:xfrm>
                    <a:prstGeom prst="rect">
                      <a:avLst/>
                    </a:prstGeom>
                    <a:noFill/>
                    <a:ln>
                      <a:noFill/>
                    </a:ln>
                  </pic:spPr>
                </pic:pic>
              </a:graphicData>
            </a:graphic>
          </wp:inline>
        </w:drawing>
      </w:r>
    </w:p>
    <w:p w:rsidR="000A78EF" w:rsidRDefault="000A78EF" w:rsidP="000A78EF">
      <w:pPr>
        <w:framePr w:w="4051" w:h="1155" w:wrap="auto" w:vAnchor="page" w:hAnchor="page" w:x="6879" w:y="7523"/>
      </w:pPr>
      <w:r>
        <w:rPr>
          <w:noProof/>
          <w:position w:val="-97"/>
          <w:lang w:eastAsia="ru-RU"/>
        </w:rPr>
        <w:drawing>
          <wp:anchor distT="0" distB="0" distL="114300" distR="114300" simplePos="0" relativeHeight="251739136" behindDoc="1" locked="0" layoutInCell="1" allowOverlap="1" wp14:anchorId="01968196" wp14:editId="05F6147D">
            <wp:simplePos x="0" y="0"/>
            <wp:positionH relativeFrom="column">
              <wp:posOffset>-1905</wp:posOffset>
            </wp:positionH>
            <wp:positionV relativeFrom="paragraph">
              <wp:posOffset>5080</wp:posOffset>
            </wp:positionV>
            <wp:extent cx="2292985" cy="737235"/>
            <wp:effectExtent l="0" t="0" r="0" b="5715"/>
            <wp:wrapTight wrapText="bothSides">
              <wp:wrapPolygon edited="0">
                <wp:start x="0" y="0"/>
                <wp:lineTo x="0" y="3349"/>
                <wp:lineTo x="2153" y="10047"/>
                <wp:lineTo x="2871" y="10047"/>
                <wp:lineTo x="2871" y="21209"/>
                <wp:lineTo x="21355" y="21209"/>
                <wp:lineTo x="21355" y="3349"/>
                <wp:lineTo x="1077" y="0"/>
                <wp:lineTo x="0" y="0"/>
              </wp:wrapPolygon>
            </wp:wrapTight>
            <wp:docPr id="1179" name="Рисунок 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292985" cy="737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78EF" w:rsidRDefault="000A78EF" w:rsidP="000A78EF">
      <w:r>
        <w:br w:type="page"/>
      </w:r>
    </w:p>
    <w:p w:rsidR="000A78EF" w:rsidRDefault="000A78EF" w:rsidP="000A78EF">
      <w:pPr>
        <w:framePr w:w="4410" w:h="1245" w:wrap="auto" w:hAnchor="margin" w:x="771" w:y="460"/>
      </w:pPr>
      <w:r>
        <w:rPr>
          <w:noProof/>
          <w:position w:val="-57"/>
          <w:lang w:eastAsia="ru-RU"/>
        </w:rPr>
        <w:lastRenderedPageBreak/>
        <w:drawing>
          <wp:inline distT="0" distB="0" distL="0" distR="0" wp14:anchorId="4C7CAD58" wp14:editId="6612D535">
            <wp:extent cx="2538730" cy="791845"/>
            <wp:effectExtent l="0" t="0" r="0" b="8255"/>
            <wp:docPr id="1163" name="Рисунок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538730" cy="791845"/>
                    </a:xfrm>
                    <a:prstGeom prst="rect">
                      <a:avLst/>
                    </a:prstGeom>
                    <a:noFill/>
                    <a:ln>
                      <a:noFill/>
                    </a:ln>
                  </pic:spPr>
                </pic:pic>
              </a:graphicData>
            </a:graphic>
          </wp:inline>
        </w:drawing>
      </w:r>
    </w:p>
    <w:p w:rsidR="000A78EF" w:rsidRDefault="000A78EF" w:rsidP="000A78EF">
      <w:pPr>
        <w:framePr w:w="3162" w:h="450" w:wrap="auto" w:hAnchor="margin" w:x="771" w:y="2678"/>
      </w:pPr>
      <w:r>
        <w:rPr>
          <w:noProof/>
          <w:position w:val="-27"/>
          <w:lang w:eastAsia="ru-RU"/>
        </w:rPr>
        <w:drawing>
          <wp:inline distT="0" distB="0" distL="0" distR="0" wp14:anchorId="7B8A3861" wp14:editId="00A1D12F">
            <wp:extent cx="1255395" cy="286385"/>
            <wp:effectExtent l="0" t="0" r="1905" b="0"/>
            <wp:docPr id="1162" name="Рисунок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255395" cy="286385"/>
                    </a:xfrm>
                    <a:prstGeom prst="rect">
                      <a:avLst/>
                    </a:prstGeom>
                    <a:noFill/>
                    <a:ln>
                      <a:noFill/>
                    </a:ln>
                  </pic:spPr>
                </pic:pic>
              </a:graphicData>
            </a:graphic>
          </wp:inline>
        </w:drawing>
      </w:r>
    </w:p>
    <w:p w:rsidR="000A78EF" w:rsidRDefault="000A78EF" w:rsidP="000A78EF">
      <w:pPr>
        <w:framePr w:w="3162" w:h="450" w:wrap="auto" w:hAnchor="margin" w:x="771" w:y="3290"/>
      </w:pPr>
      <w:r>
        <w:rPr>
          <w:noProof/>
          <w:position w:val="-27"/>
          <w:lang w:eastAsia="ru-RU"/>
        </w:rPr>
        <w:drawing>
          <wp:inline distT="0" distB="0" distL="0" distR="0" wp14:anchorId="5AE2B9C9" wp14:editId="46FE3953">
            <wp:extent cx="1255395" cy="286385"/>
            <wp:effectExtent l="0" t="0" r="1905" b="0"/>
            <wp:docPr id="1161" name="Рисунок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255395" cy="286385"/>
                    </a:xfrm>
                    <a:prstGeom prst="rect">
                      <a:avLst/>
                    </a:prstGeom>
                    <a:noFill/>
                    <a:ln>
                      <a:noFill/>
                    </a:ln>
                  </pic:spPr>
                </pic:pic>
              </a:graphicData>
            </a:graphic>
          </wp:inline>
        </w:drawing>
      </w:r>
    </w:p>
    <w:p w:rsidR="000A78EF" w:rsidRDefault="000A78EF" w:rsidP="000A78EF">
      <w:pPr>
        <w:framePr w:w="3629" w:h="585" w:wrap="auto" w:hAnchor="margin" w:x="771" w:y="4468"/>
      </w:pPr>
      <w:r>
        <w:rPr>
          <w:noProof/>
          <w:position w:val="-24"/>
          <w:lang w:eastAsia="ru-RU"/>
        </w:rPr>
        <w:drawing>
          <wp:inline distT="0" distB="0" distL="0" distR="0" wp14:anchorId="21E9FA46" wp14:editId="28331018">
            <wp:extent cx="1719580" cy="368300"/>
            <wp:effectExtent l="0" t="0" r="0" b="0"/>
            <wp:docPr id="1160" name="Рисунок 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719580" cy="368300"/>
                    </a:xfrm>
                    <a:prstGeom prst="rect">
                      <a:avLst/>
                    </a:prstGeom>
                    <a:noFill/>
                    <a:ln>
                      <a:noFill/>
                    </a:ln>
                  </pic:spPr>
                </pic:pic>
              </a:graphicData>
            </a:graphic>
          </wp:inline>
        </w:drawing>
      </w:r>
    </w:p>
    <w:p w:rsidR="000A78EF" w:rsidRDefault="000A78EF" w:rsidP="000A78EF">
      <w:pPr>
        <w:framePr w:w="3983" w:h="480" w:wrap="auto" w:hAnchor="margin" w:x="771" w:y="5983"/>
      </w:pPr>
      <w:r>
        <w:rPr>
          <w:noProof/>
          <w:position w:val="-30"/>
          <w:lang w:eastAsia="ru-RU"/>
        </w:rPr>
        <w:drawing>
          <wp:inline distT="0" distB="0" distL="0" distR="0" wp14:anchorId="49FD3931" wp14:editId="1287E9CA">
            <wp:extent cx="1815465" cy="300355"/>
            <wp:effectExtent l="0" t="0" r="0" b="4445"/>
            <wp:docPr id="1159" name="Рисунок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815465" cy="300355"/>
                    </a:xfrm>
                    <a:prstGeom prst="rect">
                      <a:avLst/>
                    </a:prstGeom>
                    <a:noFill/>
                    <a:ln>
                      <a:noFill/>
                    </a:ln>
                  </pic:spPr>
                </pic:pic>
              </a:graphicData>
            </a:graphic>
          </wp:inline>
        </w:drawing>
      </w:r>
    </w:p>
    <w:p w:rsidR="000A78EF" w:rsidRDefault="000A78EF" w:rsidP="000A78EF">
      <w:pPr>
        <w:framePr w:w="5078" w:h="480" w:wrap="auto" w:hAnchor="margin" w:x="771" w:y="6717"/>
      </w:pPr>
      <w:r>
        <w:rPr>
          <w:noProof/>
          <w:position w:val="-30"/>
          <w:lang w:eastAsia="ru-RU"/>
        </w:rPr>
        <w:drawing>
          <wp:inline distT="0" distB="0" distL="0" distR="0" wp14:anchorId="0320ADD3" wp14:editId="17B9170D">
            <wp:extent cx="2511425" cy="300355"/>
            <wp:effectExtent l="0" t="0" r="3175" b="4445"/>
            <wp:docPr id="1158" name="Рисунок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511425" cy="300355"/>
                    </a:xfrm>
                    <a:prstGeom prst="rect">
                      <a:avLst/>
                    </a:prstGeom>
                    <a:noFill/>
                    <a:ln>
                      <a:noFill/>
                    </a:ln>
                  </pic:spPr>
                </pic:pic>
              </a:graphicData>
            </a:graphic>
          </wp:inline>
        </w:drawing>
      </w:r>
    </w:p>
    <w:p w:rsidR="000A78EF" w:rsidRDefault="000A78EF" w:rsidP="000A78EF">
      <w:pPr>
        <w:framePr w:w="2991" w:h="240" w:wrap="auto" w:hAnchor="margin" w:x="2183" w:y="8538"/>
      </w:pPr>
      <w:r>
        <w:t>фонд</w:t>
      </w:r>
      <w:proofErr w:type="gramStart"/>
      <w:r>
        <w:t>1</w:t>
      </w:r>
      <w:proofErr w:type="gramEnd"/>
      <w:r>
        <w:t xml:space="preserve"> фонд2</w:t>
      </w:r>
    </w:p>
    <w:p w:rsidR="000A78EF" w:rsidRDefault="000A78EF" w:rsidP="000A78EF">
      <w:pPr>
        <w:framePr w:w="4191" w:h="240" w:wrap="auto" w:hAnchor="margin" w:x="5393" w:y="9150"/>
      </w:pPr>
      <w:r>
        <w:t xml:space="preserve">нижняя </w:t>
      </w:r>
    </w:p>
    <w:p w:rsidR="000A78EF" w:rsidRDefault="000A78EF" w:rsidP="000A78EF">
      <w:pPr>
        <w:framePr w:w="2571" w:h="240" w:wrap="auto" w:hAnchor="margin" w:x="643" w:y="9395"/>
      </w:pPr>
      <w:r>
        <w:t>2002 год</w:t>
      </w:r>
    </w:p>
    <w:p w:rsidR="000A78EF" w:rsidRDefault="000A78EF" w:rsidP="000A78EF">
      <w:pPr>
        <w:framePr w:w="4334" w:h="585" w:wrap="auto" w:hAnchor="margin" w:x="1670" w:y="9242"/>
      </w:pPr>
      <w:r>
        <w:rPr>
          <w:noProof/>
          <w:position w:val="-24"/>
          <w:lang w:eastAsia="ru-RU"/>
        </w:rPr>
        <w:drawing>
          <wp:inline distT="0" distB="0" distL="0" distR="0" wp14:anchorId="32B60553" wp14:editId="0BF70318">
            <wp:extent cx="2156460" cy="368300"/>
            <wp:effectExtent l="0" t="0" r="0" b="0"/>
            <wp:docPr id="1157" name="Рисунок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156460" cy="368300"/>
                    </a:xfrm>
                    <a:prstGeom prst="rect">
                      <a:avLst/>
                    </a:prstGeom>
                    <a:noFill/>
                    <a:ln>
                      <a:noFill/>
                    </a:ln>
                  </pic:spPr>
                </pic:pic>
              </a:graphicData>
            </a:graphic>
          </wp:inline>
        </w:drawing>
      </w:r>
    </w:p>
    <w:p w:rsidR="000A78EF" w:rsidRDefault="000A78EF" w:rsidP="000A78EF">
      <w:pPr>
        <w:framePr w:w="2586" w:h="240" w:wrap="auto" w:hAnchor="margin" w:x="5393" w:y="9517"/>
      </w:pPr>
      <w:r>
        <w:t xml:space="preserve">верхняя </w:t>
      </w:r>
    </w:p>
    <w:p w:rsidR="000A78EF" w:rsidRPr="00244C91" w:rsidRDefault="000A78EF" w:rsidP="000A78EF">
      <w:pPr>
        <w:rPr>
          <w:rFonts w:ascii="Times New Roman" w:hAnsi="Times New Roman" w:cs="Times New Roman"/>
          <w:sz w:val="28"/>
          <w:szCs w:val="28"/>
        </w:rPr>
      </w:pPr>
    </w:p>
    <w:p w:rsidR="00622C25" w:rsidRPr="00B43709" w:rsidRDefault="00622C25" w:rsidP="00986F2F">
      <w:pPr>
        <w:spacing w:line="360" w:lineRule="auto"/>
        <w:jc w:val="both"/>
        <w:rPr>
          <w:rFonts w:ascii="Times New Roman" w:hAnsi="Times New Roman"/>
          <w:sz w:val="28"/>
          <w:szCs w:val="28"/>
          <w:lang w:val="en-US"/>
        </w:rPr>
      </w:pPr>
    </w:p>
    <w:sectPr w:rsidR="00622C25" w:rsidRPr="00B43709" w:rsidSect="00615F1B">
      <w:footerReference w:type="default" r:id="rId95"/>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0AD" w:rsidRDefault="008560AD" w:rsidP="00F91E8A">
      <w:pPr>
        <w:spacing w:after="0" w:line="240" w:lineRule="auto"/>
      </w:pPr>
      <w:r>
        <w:separator/>
      </w:r>
    </w:p>
  </w:endnote>
  <w:endnote w:type="continuationSeparator" w:id="0">
    <w:p w:rsidR="008560AD" w:rsidRDefault="008560AD" w:rsidP="00F91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823880"/>
      <w:docPartObj>
        <w:docPartGallery w:val="Page Numbers (Bottom of Page)"/>
        <w:docPartUnique/>
      </w:docPartObj>
    </w:sdtPr>
    <w:sdtEndPr/>
    <w:sdtContent>
      <w:p w:rsidR="00DA0396" w:rsidRDefault="00DA0396">
        <w:pPr>
          <w:pStyle w:val="a6"/>
          <w:jc w:val="right"/>
        </w:pPr>
        <w:r>
          <w:fldChar w:fldCharType="begin"/>
        </w:r>
        <w:r>
          <w:instrText>PAGE   \* MERGEFORMAT</w:instrText>
        </w:r>
        <w:r>
          <w:fldChar w:fldCharType="separate"/>
        </w:r>
        <w:r w:rsidR="00FB1D00">
          <w:rPr>
            <w:noProof/>
          </w:rPr>
          <w:t>2</w:t>
        </w:r>
        <w:r>
          <w:fldChar w:fldCharType="end"/>
        </w:r>
      </w:p>
    </w:sdtContent>
  </w:sdt>
  <w:p w:rsidR="00DA0396" w:rsidRDefault="00DA03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0AD" w:rsidRDefault="008560AD" w:rsidP="00F91E8A">
      <w:pPr>
        <w:spacing w:after="0" w:line="240" w:lineRule="auto"/>
      </w:pPr>
      <w:r>
        <w:separator/>
      </w:r>
    </w:p>
  </w:footnote>
  <w:footnote w:type="continuationSeparator" w:id="0">
    <w:p w:rsidR="008560AD" w:rsidRDefault="008560AD" w:rsidP="00F91E8A">
      <w:pPr>
        <w:spacing w:after="0" w:line="240" w:lineRule="auto"/>
      </w:pPr>
      <w:r>
        <w:continuationSeparator/>
      </w:r>
    </w:p>
  </w:footnote>
  <w:footnote w:id="1">
    <w:p w:rsidR="00DA0396" w:rsidRDefault="00DA0396" w:rsidP="00986F2F">
      <w:pPr>
        <w:pStyle w:val="a8"/>
        <w:rPr>
          <w:lang w:val="en-US"/>
        </w:rPr>
      </w:pPr>
      <w:r>
        <w:rPr>
          <w:rStyle w:val="ab"/>
        </w:rPr>
        <w:footnoteRef/>
      </w:r>
      <w:r>
        <w:rPr>
          <w:rFonts w:ascii="Times New Roman" w:hAnsi="Times New Roman"/>
          <w:lang w:val="en-US"/>
        </w:rPr>
        <w:t xml:space="preserve"> Caner </w:t>
      </w:r>
      <w:proofErr w:type="spellStart"/>
      <w:r>
        <w:rPr>
          <w:rFonts w:ascii="Times New Roman" w:hAnsi="Times New Roman"/>
          <w:lang w:val="en-US"/>
        </w:rPr>
        <w:t>Bakir</w:t>
      </w:r>
      <w:proofErr w:type="spellEnd"/>
      <w:r>
        <w:rPr>
          <w:rFonts w:ascii="Times New Roman" w:hAnsi="Times New Roman"/>
          <w:lang w:val="en-US"/>
        </w:rPr>
        <w:t xml:space="preserve">, «The governance of financial regulatory reform: the Australian experience», 2009, p. 912. </w:t>
      </w:r>
    </w:p>
  </w:footnote>
  <w:footnote w:id="2">
    <w:p w:rsidR="00DA0396" w:rsidRDefault="00DA0396" w:rsidP="00986F2F">
      <w:pPr>
        <w:pStyle w:val="a8"/>
        <w:rPr>
          <w:lang w:val="en-US"/>
        </w:rPr>
      </w:pPr>
      <w:r>
        <w:rPr>
          <w:rStyle w:val="ab"/>
        </w:rPr>
        <w:footnoteRef/>
      </w:r>
      <w:r>
        <w:rPr>
          <w:rFonts w:ascii="Times New Roman" w:hAnsi="Times New Roman"/>
          <w:lang w:val="en-US"/>
        </w:rPr>
        <w:t xml:space="preserve"> Treasury Department, «Financial System Inquiry Submission», 1996, p. 92. </w:t>
      </w:r>
    </w:p>
  </w:footnote>
  <w:footnote w:id="3">
    <w:p w:rsidR="00DA0396" w:rsidRPr="001A2C19" w:rsidRDefault="00DA0396" w:rsidP="00BB26AF">
      <w:pPr>
        <w:pStyle w:val="a8"/>
        <w:rPr>
          <w:rFonts w:ascii="Times New Roman" w:hAnsi="Times New Roman"/>
          <w:lang w:val="en-US"/>
        </w:rPr>
      </w:pPr>
      <w:r w:rsidRPr="001A2C19">
        <w:rPr>
          <w:rStyle w:val="ab"/>
        </w:rPr>
        <w:footnoteRef/>
      </w:r>
      <w:r w:rsidRPr="001A2C19">
        <w:rPr>
          <w:rFonts w:ascii="Times New Roman" w:hAnsi="Times New Roman"/>
          <w:lang w:val="en-US"/>
        </w:rPr>
        <w:t xml:space="preserve"> </w:t>
      </w:r>
      <w:proofErr w:type="gramStart"/>
      <w:r w:rsidRPr="001A2C19">
        <w:rPr>
          <w:rFonts w:ascii="Times New Roman" w:hAnsi="Times New Roman"/>
          <w:lang w:val="en-US"/>
        </w:rPr>
        <w:t>Group of Thirty, «The structure of Financial Supervision.</w:t>
      </w:r>
      <w:proofErr w:type="gramEnd"/>
      <w:r w:rsidRPr="001A2C19">
        <w:rPr>
          <w:rFonts w:ascii="Times New Roman" w:hAnsi="Times New Roman"/>
          <w:lang w:val="en-US"/>
        </w:rPr>
        <w:t xml:space="preserve"> Approaches and Challenges in a Global Marketplace», 2008, p. 13.</w:t>
      </w:r>
    </w:p>
  </w:footnote>
  <w:footnote w:id="4">
    <w:p w:rsidR="00DA0396" w:rsidRPr="001A2C19" w:rsidRDefault="00DA0396" w:rsidP="00BB26AF">
      <w:pPr>
        <w:pStyle w:val="a8"/>
        <w:rPr>
          <w:rFonts w:ascii="Times New Roman" w:hAnsi="Times New Roman"/>
          <w:lang w:val="en-US"/>
        </w:rPr>
      </w:pPr>
      <w:r w:rsidRPr="001A2C19">
        <w:rPr>
          <w:rStyle w:val="ab"/>
        </w:rPr>
        <w:footnoteRef/>
      </w:r>
      <w:r w:rsidRPr="001A2C19">
        <w:rPr>
          <w:rFonts w:ascii="Times New Roman" w:hAnsi="Times New Roman"/>
          <w:lang w:val="en-US"/>
        </w:rPr>
        <w:t xml:space="preserve"> Alex </w:t>
      </w:r>
      <w:proofErr w:type="spellStart"/>
      <w:r w:rsidRPr="001A2C19">
        <w:rPr>
          <w:rFonts w:ascii="Times New Roman" w:hAnsi="Times New Roman"/>
          <w:lang w:val="en-US"/>
        </w:rPr>
        <w:t>Holevas</w:t>
      </w:r>
      <w:proofErr w:type="spellEnd"/>
      <w:r w:rsidRPr="001A2C19">
        <w:rPr>
          <w:rFonts w:ascii="Times New Roman" w:hAnsi="Times New Roman"/>
          <w:lang w:val="en-US"/>
        </w:rPr>
        <w:t xml:space="preserve">, «Twin Peaks: The envy of the world». URL: </w:t>
      </w:r>
      <w:hyperlink r:id="rId1" w:history="1">
        <w:r w:rsidRPr="001A2C19">
          <w:rPr>
            <w:rStyle w:val="ac"/>
            <w:rFonts w:ascii="Times New Roman" w:hAnsi="Times New Roman"/>
            <w:color w:val="auto"/>
            <w:u w:val="none"/>
            <w:lang w:val="en-US"/>
          </w:rPr>
          <w:t>http://www.wealthprofessional.com.au/</w:t>
        </w:r>
      </w:hyperlink>
      <w:r w:rsidRPr="001A2C19">
        <w:rPr>
          <w:rFonts w:ascii="Times New Roman" w:hAnsi="Times New Roman"/>
          <w:lang w:val="en-US"/>
        </w:rPr>
        <w:t xml:space="preserve"> article/twin-peaks-the-envy-of-the-world-122530.aspx.</w:t>
      </w:r>
    </w:p>
  </w:footnote>
  <w:footnote w:id="5">
    <w:p w:rsidR="00DA0396" w:rsidRPr="001A2C19" w:rsidRDefault="00DA0396" w:rsidP="00BB26AF">
      <w:pPr>
        <w:pStyle w:val="a8"/>
        <w:rPr>
          <w:rFonts w:ascii="Times New Roman" w:hAnsi="Times New Roman"/>
        </w:rPr>
      </w:pPr>
      <w:r w:rsidRPr="001A2C19">
        <w:rPr>
          <w:rStyle w:val="ab"/>
        </w:rPr>
        <w:footnoteRef/>
      </w:r>
      <w:r w:rsidRPr="001A2C19">
        <w:rPr>
          <w:rFonts w:ascii="Times New Roman" w:hAnsi="Times New Roman"/>
        </w:rPr>
        <w:t xml:space="preserve"> Закон в Австралии. URL: http://www.comlaw.gov.au/Details/C2013C00076.</w:t>
      </w:r>
    </w:p>
  </w:footnote>
  <w:footnote w:id="6">
    <w:p w:rsidR="00DA0396" w:rsidRPr="001A2C19" w:rsidRDefault="00DA0396" w:rsidP="00BB26AF">
      <w:pPr>
        <w:pStyle w:val="a8"/>
        <w:rPr>
          <w:rFonts w:ascii="Times New Roman" w:hAnsi="Times New Roman"/>
          <w:lang w:val="en-US"/>
        </w:rPr>
      </w:pPr>
      <w:r w:rsidRPr="001A2C19">
        <w:rPr>
          <w:rStyle w:val="ab"/>
        </w:rPr>
        <w:footnoteRef/>
      </w:r>
      <w:r w:rsidRPr="001A2C19">
        <w:rPr>
          <w:rFonts w:ascii="Times New Roman" w:hAnsi="Times New Roman"/>
          <w:lang w:val="en-US"/>
        </w:rPr>
        <w:t xml:space="preserve"> </w:t>
      </w:r>
      <w:proofErr w:type="gramStart"/>
      <w:r w:rsidRPr="001A2C19">
        <w:rPr>
          <w:rFonts w:ascii="Times New Roman" w:hAnsi="Times New Roman"/>
          <w:lang w:val="en-US"/>
        </w:rPr>
        <w:t>Australian Prudential Regulation Authority.</w:t>
      </w:r>
      <w:proofErr w:type="gramEnd"/>
      <w:r w:rsidRPr="001A2C19">
        <w:rPr>
          <w:rFonts w:ascii="Times New Roman" w:hAnsi="Times New Roman"/>
          <w:lang w:val="en-US"/>
        </w:rPr>
        <w:t xml:space="preserve"> URL: http://www.apra.gov.au/AboutAPRA/ Pages/Default.aspx.</w:t>
      </w:r>
    </w:p>
  </w:footnote>
  <w:footnote w:id="7">
    <w:p w:rsidR="00DA0396" w:rsidRPr="001A2C19" w:rsidRDefault="00DA0396" w:rsidP="00BB26AF">
      <w:pPr>
        <w:pStyle w:val="a8"/>
        <w:rPr>
          <w:rFonts w:ascii="Times New Roman" w:hAnsi="Times New Roman"/>
          <w:lang w:val="en-US"/>
        </w:rPr>
      </w:pPr>
      <w:r w:rsidRPr="001A2C19">
        <w:rPr>
          <w:rStyle w:val="ab"/>
        </w:rPr>
        <w:footnoteRef/>
      </w:r>
      <w:r w:rsidRPr="001A2C19">
        <w:rPr>
          <w:rFonts w:ascii="Times New Roman" w:hAnsi="Times New Roman"/>
          <w:lang w:val="en-US"/>
        </w:rPr>
        <w:t xml:space="preserve"> </w:t>
      </w:r>
      <w:proofErr w:type="gramStart"/>
      <w:r w:rsidRPr="001A2C19">
        <w:rPr>
          <w:rFonts w:ascii="Times New Roman" w:hAnsi="Times New Roman"/>
          <w:lang w:val="en-US"/>
        </w:rPr>
        <w:t>Australian Prudential Regulation Authority.</w:t>
      </w:r>
      <w:proofErr w:type="gramEnd"/>
      <w:r w:rsidRPr="001A2C19">
        <w:rPr>
          <w:rFonts w:ascii="Times New Roman" w:hAnsi="Times New Roman"/>
          <w:lang w:val="en-US"/>
        </w:rPr>
        <w:t xml:space="preserve"> URL: http://www.apra.gov.au/CrossIndustry/FCS/ Pages/default.aspx.</w:t>
      </w:r>
    </w:p>
  </w:footnote>
  <w:footnote w:id="8">
    <w:p w:rsidR="00DA0396" w:rsidRPr="00BB26AF" w:rsidRDefault="00DA0396" w:rsidP="00BB26AF">
      <w:pPr>
        <w:pStyle w:val="a8"/>
        <w:rPr>
          <w:rFonts w:ascii="Times New Roman" w:hAnsi="Times New Roman"/>
        </w:rPr>
      </w:pPr>
      <w:r w:rsidRPr="00BB26AF">
        <w:rPr>
          <w:rStyle w:val="ab"/>
        </w:rPr>
        <w:footnoteRef/>
      </w:r>
      <w:r w:rsidRPr="00BB26AF">
        <w:rPr>
          <w:rFonts w:ascii="Times New Roman" w:hAnsi="Times New Roman"/>
        </w:rPr>
        <w:t xml:space="preserve"> Закон в Австралии. URL: http://www.comlaw.gov.au/Details/C2013C00002.</w:t>
      </w:r>
    </w:p>
  </w:footnote>
  <w:footnote w:id="9">
    <w:p w:rsidR="00DA0396" w:rsidRPr="00BB26AF" w:rsidRDefault="00DA0396" w:rsidP="00BB26AF">
      <w:pPr>
        <w:pStyle w:val="a8"/>
        <w:rPr>
          <w:rFonts w:ascii="Times New Roman" w:hAnsi="Times New Roman"/>
          <w:lang w:val="en-US"/>
        </w:rPr>
      </w:pPr>
      <w:r w:rsidRPr="00BB26AF">
        <w:rPr>
          <w:rStyle w:val="ab"/>
        </w:rPr>
        <w:footnoteRef/>
      </w:r>
      <w:r w:rsidRPr="00BB26AF">
        <w:rPr>
          <w:rFonts w:ascii="Times New Roman" w:hAnsi="Times New Roman"/>
          <w:lang w:val="en-US"/>
        </w:rPr>
        <w:t xml:space="preserve"> </w:t>
      </w:r>
      <w:proofErr w:type="gramStart"/>
      <w:r w:rsidRPr="00BB26AF">
        <w:rPr>
          <w:rFonts w:ascii="Times New Roman" w:hAnsi="Times New Roman"/>
          <w:lang w:val="en-US"/>
        </w:rPr>
        <w:t>Australian Securities and Investments Commission, «Annual report 2011–12», 2012, p. 19.</w:t>
      </w:r>
      <w:proofErr w:type="gramEnd"/>
    </w:p>
  </w:footnote>
  <w:footnote w:id="10">
    <w:p w:rsidR="00DA0396" w:rsidRPr="00BB26AF" w:rsidRDefault="00DA0396" w:rsidP="00BB26AF">
      <w:pPr>
        <w:pStyle w:val="a8"/>
        <w:rPr>
          <w:rFonts w:ascii="Times New Roman" w:hAnsi="Times New Roman"/>
          <w:lang w:val="en-US"/>
        </w:rPr>
      </w:pPr>
      <w:r w:rsidRPr="00BB26AF">
        <w:rPr>
          <w:rStyle w:val="ab"/>
        </w:rPr>
        <w:footnoteRef/>
      </w:r>
      <w:r w:rsidRPr="00BB26AF">
        <w:rPr>
          <w:rFonts w:ascii="Times New Roman" w:hAnsi="Times New Roman"/>
          <w:lang w:val="en-US"/>
        </w:rPr>
        <w:t xml:space="preserve"> </w:t>
      </w:r>
      <w:proofErr w:type="gramStart"/>
      <w:r w:rsidRPr="00BB26AF">
        <w:rPr>
          <w:rFonts w:ascii="Times New Roman" w:hAnsi="Times New Roman"/>
          <w:lang w:val="en-US"/>
        </w:rPr>
        <w:t>Australian Securities and Investments Commission.</w:t>
      </w:r>
      <w:proofErr w:type="gramEnd"/>
      <w:r w:rsidRPr="00BB26AF">
        <w:rPr>
          <w:rFonts w:ascii="Times New Roman" w:hAnsi="Times New Roman"/>
          <w:lang w:val="en-US"/>
        </w:rPr>
        <w:t xml:space="preserve"> URL: </w:t>
      </w:r>
      <w:hyperlink r:id="rId2" w:history="1">
        <w:r w:rsidRPr="00BB26AF">
          <w:rPr>
            <w:rStyle w:val="ac"/>
            <w:rFonts w:ascii="Times New Roman" w:hAnsi="Times New Roman"/>
            <w:color w:val="auto"/>
            <w:u w:val="none"/>
            <w:lang w:val="en-US"/>
          </w:rPr>
          <w:t>http://www.asic.gov.au/asic/asic.nsf/</w:t>
        </w:r>
      </w:hyperlink>
      <w:r w:rsidRPr="00BB26AF">
        <w:rPr>
          <w:rFonts w:ascii="Times New Roman" w:hAnsi="Times New Roman"/>
          <w:lang w:val="en-US"/>
        </w:rPr>
        <w:t xml:space="preserve"> byheadline/IR+06-38+good+progress+with+ASIC%E2%80%99S+Better+Regulation+initiatives? </w:t>
      </w:r>
      <w:proofErr w:type="spellStart"/>
      <w:r w:rsidRPr="00BB26AF">
        <w:rPr>
          <w:rFonts w:ascii="Times New Roman" w:hAnsi="Times New Roman"/>
          <w:lang w:val="en-US"/>
        </w:rPr>
        <w:t>openDocument</w:t>
      </w:r>
      <w:proofErr w:type="spellEnd"/>
    </w:p>
  </w:footnote>
  <w:footnote w:id="11">
    <w:p w:rsidR="00DA0396" w:rsidRPr="00BB26AF" w:rsidRDefault="00DA0396" w:rsidP="00BB26AF">
      <w:pPr>
        <w:pStyle w:val="a8"/>
        <w:rPr>
          <w:rFonts w:ascii="Times New Roman" w:hAnsi="Times New Roman"/>
          <w:lang w:val="en-US"/>
        </w:rPr>
      </w:pPr>
      <w:r w:rsidRPr="00BB26AF">
        <w:rPr>
          <w:rFonts w:ascii="Times New Roman" w:hAnsi="Times New Roman"/>
        </w:rPr>
        <w:footnoteRef/>
      </w:r>
      <w:r w:rsidRPr="00BB26AF">
        <w:rPr>
          <w:rFonts w:ascii="Times New Roman" w:hAnsi="Times New Roman"/>
          <w:lang w:val="en-US"/>
        </w:rPr>
        <w:t xml:space="preserve"> </w:t>
      </w:r>
      <w:proofErr w:type="gramStart"/>
      <w:r w:rsidRPr="00BB26AF">
        <w:rPr>
          <w:rFonts w:ascii="Times New Roman" w:hAnsi="Times New Roman"/>
          <w:lang w:val="en-US"/>
        </w:rPr>
        <w:t>Australian Securities and Investments Commission.</w:t>
      </w:r>
      <w:proofErr w:type="gramEnd"/>
      <w:r w:rsidRPr="00BB26AF">
        <w:rPr>
          <w:rFonts w:ascii="Times New Roman" w:hAnsi="Times New Roman"/>
          <w:lang w:val="en-US"/>
        </w:rPr>
        <w:t xml:space="preserve"> URL: </w:t>
      </w:r>
      <w:hyperlink r:id="rId3" w:history="1">
        <w:r w:rsidRPr="00BB26AF">
          <w:rPr>
            <w:rStyle w:val="ac"/>
            <w:rFonts w:ascii="Times New Roman" w:hAnsi="Times New Roman"/>
            <w:color w:val="auto"/>
            <w:u w:val="none"/>
            <w:lang w:val="en-US"/>
          </w:rPr>
          <w:t>https://www.asic.gov.au/asic/asic.nsf/</w:t>
        </w:r>
      </w:hyperlink>
      <w:r w:rsidRPr="00BB26AF">
        <w:rPr>
          <w:rFonts w:ascii="Times New Roman" w:hAnsi="Times New Roman"/>
          <w:lang w:val="en-US"/>
        </w:rPr>
        <w:t xml:space="preserve"> </w:t>
      </w:r>
      <w:proofErr w:type="spellStart"/>
      <w:r w:rsidRPr="00BB26AF">
        <w:rPr>
          <w:rFonts w:ascii="Times New Roman" w:hAnsi="Times New Roman"/>
          <w:lang w:val="en-US"/>
        </w:rPr>
        <w:t>byheadline</w:t>
      </w:r>
      <w:proofErr w:type="spellEnd"/>
      <w:r w:rsidRPr="00BB26AF">
        <w:rPr>
          <w:rFonts w:ascii="Times New Roman" w:hAnsi="Times New Roman"/>
          <w:lang w:val="en-US"/>
        </w:rPr>
        <w:t xml:space="preserve">/ </w:t>
      </w:r>
      <w:proofErr w:type="spellStart"/>
      <w:r w:rsidRPr="00BB26AF">
        <w:rPr>
          <w:rFonts w:ascii="Times New Roman" w:hAnsi="Times New Roman"/>
          <w:lang w:val="en-US"/>
        </w:rPr>
        <w:t>ASIC's+Consumer+Advisory+Panel?openDocument</w:t>
      </w:r>
      <w:proofErr w:type="spellEnd"/>
    </w:p>
  </w:footnote>
  <w:footnote w:id="12">
    <w:p w:rsidR="00DA0396" w:rsidRPr="00BB26AF" w:rsidRDefault="00DA0396" w:rsidP="00BB26AF">
      <w:pPr>
        <w:pStyle w:val="a8"/>
        <w:rPr>
          <w:rFonts w:ascii="Times New Roman" w:hAnsi="Times New Roman"/>
        </w:rPr>
      </w:pPr>
      <w:r w:rsidRPr="00BB26AF">
        <w:rPr>
          <w:rStyle w:val="ab"/>
        </w:rPr>
        <w:footnoteRef/>
      </w:r>
      <w:r w:rsidRPr="00BB26AF">
        <w:rPr>
          <w:rFonts w:ascii="Times New Roman" w:hAnsi="Times New Roman"/>
        </w:rPr>
        <w:t xml:space="preserve"> Закон в Австралии. URL: http://www.austlii.edu.au/au/legis/cth/consol_act/rba1959130/</w:t>
      </w:r>
    </w:p>
  </w:footnote>
  <w:footnote w:id="13">
    <w:p w:rsidR="00DA0396" w:rsidRPr="00950C63" w:rsidRDefault="00DA0396" w:rsidP="00C92781">
      <w:pPr>
        <w:pStyle w:val="a8"/>
        <w:spacing w:line="240" w:lineRule="auto"/>
        <w:rPr>
          <w:rFonts w:ascii="Times New Roman" w:hAnsi="Times New Roman"/>
          <w:lang w:val="en-US"/>
        </w:rPr>
      </w:pPr>
      <w:r w:rsidRPr="002E4A80">
        <w:rPr>
          <w:rStyle w:val="ab"/>
        </w:rPr>
        <w:footnoteRef/>
      </w:r>
      <w:r w:rsidRPr="002E4A80">
        <w:rPr>
          <w:rFonts w:ascii="Times New Roman" w:hAnsi="Times New Roman"/>
          <w:lang w:val="en-US"/>
        </w:rPr>
        <w:t xml:space="preserve"> </w:t>
      </w:r>
      <w:proofErr w:type="spellStart"/>
      <w:proofErr w:type="gramStart"/>
      <w:r w:rsidRPr="002E4A80">
        <w:rPr>
          <w:rFonts w:ascii="Times New Roman" w:hAnsi="Times New Roman"/>
          <w:lang w:val="en-US"/>
        </w:rPr>
        <w:t>Stiglitz</w:t>
      </w:r>
      <w:proofErr w:type="spellEnd"/>
      <w:r w:rsidRPr="002E4A80">
        <w:rPr>
          <w:rFonts w:ascii="Times New Roman" w:hAnsi="Times New Roman"/>
          <w:lang w:val="en-US"/>
        </w:rPr>
        <w:t xml:space="preserve"> J. Regulation and Failure.</w:t>
      </w:r>
      <w:proofErr w:type="gramEnd"/>
      <w:r w:rsidRPr="002E4A80">
        <w:rPr>
          <w:rFonts w:ascii="Times New Roman" w:hAnsi="Times New Roman"/>
          <w:lang w:val="en-US"/>
        </w:rPr>
        <w:t xml:space="preserve"> </w:t>
      </w:r>
      <w:proofErr w:type="gramStart"/>
      <w:r w:rsidRPr="002E4A80">
        <w:rPr>
          <w:rFonts w:ascii="Times New Roman" w:hAnsi="Times New Roman"/>
          <w:lang w:val="en-US"/>
        </w:rPr>
        <w:t>New Perspectives on Regulation.</w:t>
      </w:r>
      <w:proofErr w:type="gramEnd"/>
      <w:r w:rsidRPr="002E4A80">
        <w:rPr>
          <w:rFonts w:ascii="Times New Roman" w:hAnsi="Times New Roman"/>
          <w:lang w:val="en-US"/>
        </w:rPr>
        <w:t xml:space="preserve"> MA; </w:t>
      </w:r>
      <w:proofErr w:type="gramStart"/>
      <w:r w:rsidRPr="002E4A80">
        <w:rPr>
          <w:rFonts w:ascii="Times New Roman" w:hAnsi="Times New Roman"/>
          <w:lang w:val="en-US"/>
        </w:rPr>
        <w:t>The</w:t>
      </w:r>
      <w:proofErr w:type="gramEnd"/>
      <w:r w:rsidRPr="002E4A80">
        <w:rPr>
          <w:rFonts w:ascii="Times New Roman" w:hAnsi="Times New Roman"/>
          <w:lang w:val="en-US"/>
        </w:rPr>
        <w:t xml:space="preserve"> Tobin Project. </w:t>
      </w:r>
      <w:proofErr w:type="gramStart"/>
      <w:r w:rsidRPr="00950C63">
        <w:rPr>
          <w:rFonts w:ascii="Times New Roman" w:hAnsi="Times New Roman"/>
          <w:lang w:val="en-US"/>
        </w:rPr>
        <w:t>Cambridge, 2009.</w:t>
      </w:r>
      <w:proofErr w:type="gramEnd"/>
      <w:r w:rsidRPr="00950C63">
        <w:rPr>
          <w:rFonts w:ascii="Times New Roman" w:hAnsi="Times New Roman"/>
          <w:lang w:val="en-US"/>
        </w:rPr>
        <w:t xml:space="preserve"> P. 11–23.</w:t>
      </w:r>
    </w:p>
  </w:footnote>
  <w:footnote w:id="14">
    <w:p w:rsidR="00DA0396" w:rsidRPr="00C2361A" w:rsidRDefault="00DA0396" w:rsidP="00C92781">
      <w:pPr>
        <w:pStyle w:val="a8"/>
        <w:rPr>
          <w:rFonts w:ascii="Times New Roman" w:hAnsi="Times New Roman"/>
          <w:lang w:val="en-US"/>
        </w:rPr>
      </w:pPr>
      <w:r>
        <w:rPr>
          <w:rStyle w:val="ab"/>
        </w:rPr>
        <w:footnoteRef/>
      </w:r>
      <w:r w:rsidRPr="00C2361A">
        <w:rPr>
          <w:lang w:val="en-US"/>
        </w:rPr>
        <w:t xml:space="preserve"> </w:t>
      </w:r>
      <w:proofErr w:type="spellStart"/>
      <w:r>
        <w:rPr>
          <w:rFonts w:ascii="Times New Roman" w:hAnsi="Times New Roman"/>
          <w:lang w:val="en-US"/>
        </w:rPr>
        <w:t>Risso</w:t>
      </w:r>
      <w:proofErr w:type="spellEnd"/>
      <w:r>
        <w:rPr>
          <w:rFonts w:ascii="Times New Roman" w:hAnsi="Times New Roman"/>
          <w:lang w:val="en-US"/>
        </w:rPr>
        <w:t xml:space="preserve"> W.A. </w:t>
      </w:r>
      <w:proofErr w:type="gramStart"/>
      <w:r>
        <w:rPr>
          <w:rFonts w:ascii="Times New Roman" w:hAnsi="Times New Roman"/>
          <w:lang w:val="en-US"/>
        </w:rPr>
        <w:t>The informational efficiency and the financial crashes.</w:t>
      </w:r>
      <w:proofErr w:type="gramEnd"/>
      <w:r>
        <w:rPr>
          <w:rFonts w:ascii="Times New Roman" w:hAnsi="Times New Roman"/>
          <w:lang w:val="en-US"/>
        </w:rPr>
        <w:t xml:space="preserve"> 2008. P. 2-3. </w:t>
      </w:r>
    </w:p>
  </w:footnote>
  <w:footnote w:id="15">
    <w:p w:rsidR="00DA0396" w:rsidRPr="008E241A" w:rsidRDefault="00DA0396" w:rsidP="00C92781">
      <w:pPr>
        <w:pStyle w:val="a8"/>
        <w:rPr>
          <w:rFonts w:ascii="Times New Roman" w:hAnsi="Times New Roman"/>
          <w:lang w:val="en-US"/>
        </w:rPr>
      </w:pPr>
      <w:r w:rsidRPr="008E241A">
        <w:rPr>
          <w:rStyle w:val="ab"/>
        </w:rPr>
        <w:footnoteRef/>
      </w:r>
      <w:r w:rsidRPr="008E241A">
        <w:rPr>
          <w:rFonts w:ascii="Times New Roman" w:hAnsi="Times New Roman"/>
          <w:lang w:val="en-US"/>
        </w:rPr>
        <w:t xml:space="preserve"> </w:t>
      </w:r>
      <w:proofErr w:type="spellStart"/>
      <w:r w:rsidRPr="008E241A">
        <w:rPr>
          <w:rFonts w:ascii="Times New Roman" w:hAnsi="Times New Roman"/>
          <w:lang w:val="en-US"/>
        </w:rPr>
        <w:t>Kullback</w:t>
      </w:r>
      <w:proofErr w:type="spellEnd"/>
      <w:r w:rsidRPr="008E241A">
        <w:rPr>
          <w:rFonts w:ascii="Times New Roman" w:hAnsi="Times New Roman"/>
          <w:lang w:val="en-US"/>
        </w:rPr>
        <w:t xml:space="preserve"> S., </w:t>
      </w:r>
      <w:proofErr w:type="spellStart"/>
      <w:r w:rsidRPr="008E241A">
        <w:rPr>
          <w:rFonts w:ascii="Times New Roman" w:hAnsi="Times New Roman"/>
          <w:lang w:val="en-US"/>
        </w:rPr>
        <w:t>Leibler</w:t>
      </w:r>
      <w:proofErr w:type="spellEnd"/>
      <w:r w:rsidRPr="008E241A">
        <w:rPr>
          <w:rFonts w:ascii="Times New Roman" w:hAnsi="Times New Roman"/>
          <w:lang w:val="en-US"/>
        </w:rPr>
        <w:t xml:space="preserve"> R.A. </w:t>
      </w:r>
      <w:proofErr w:type="gramStart"/>
      <w:r w:rsidRPr="008E241A">
        <w:rPr>
          <w:rFonts w:ascii="Times New Roman" w:hAnsi="Times New Roman"/>
          <w:lang w:val="en-US"/>
        </w:rPr>
        <w:t>On</w:t>
      </w:r>
      <w:proofErr w:type="gramEnd"/>
      <w:r w:rsidRPr="008E241A">
        <w:rPr>
          <w:rFonts w:ascii="Times New Roman" w:hAnsi="Times New Roman"/>
          <w:lang w:val="en-US"/>
        </w:rPr>
        <w:t xml:space="preserve"> Information and Sufficiency // Annals of Mathematical Statistics. 1951. № 22 (1). P. 79–86.</w:t>
      </w:r>
    </w:p>
  </w:footnote>
  <w:footnote w:id="16">
    <w:p w:rsidR="00DA0396" w:rsidRPr="00A739E8" w:rsidRDefault="00DA0396" w:rsidP="00C92781">
      <w:pPr>
        <w:pStyle w:val="a8"/>
        <w:rPr>
          <w:rFonts w:ascii="Times New Roman" w:hAnsi="Times New Roman"/>
          <w:lang w:val="en-US"/>
        </w:rPr>
      </w:pPr>
      <w:r w:rsidRPr="00ED62CB">
        <w:rPr>
          <w:rStyle w:val="ab"/>
        </w:rPr>
        <w:footnoteRef/>
      </w:r>
      <w:r w:rsidRPr="00ED62CB">
        <w:rPr>
          <w:rFonts w:ascii="Times New Roman" w:hAnsi="Times New Roman"/>
          <w:lang w:val="en-US"/>
        </w:rPr>
        <w:t xml:space="preserve"> </w:t>
      </w:r>
      <w:proofErr w:type="gramStart"/>
      <w:r w:rsidRPr="00ED62CB">
        <w:rPr>
          <w:rFonts w:ascii="Times New Roman" w:hAnsi="Times New Roman"/>
          <w:lang w:val="en-US"/>
        </w:rPr>
        <w:t>Silverman B.W. Density Estimation for Statistics and Data Analysis.</w:t>
      </w:r>
      <w:proofErr w:type="gramEnd"/>
      <w:r w:rsidRPr="00ED62CB">
        <w:rPr>
          <w:rFonts w:ascii="Times New Roman" w:hAnsi="Times New Roman"/>
          <w:lang w:val="en-US"/>
        </w:rPr>
        <w:t xml:space="preserve"> </w:t>
      </w:r>
      <w:r w:rsidRPr="00A739E8">
        <w:rPr>
          <w:rFonts w:ascii="Times New Roman" w:hAnsi="Times New Roman"/>
          <w:lang w:val="en-US"/>
        </w:rPr>
        <w:t xml:space="preserve">L.: Chapman &amp; Hall/CRC, 1998. </w:t>
      </w:r>
      <w:proofErr w:type="gramStart"/>
      <w:r>
        <w:rPr>
          <w:rFonts w:ascii="Times New Roman" w:hAnsi="Times New Roman"/>
          <w:lang w:val="en-US"/>
        </w:rPr>
        <w:t>P. 10.</w:t>
      </w:r>
      <w:proofErr w:type="gramEnd"/>
    </w:p>
  </w:footnote>
  <w:footnote w:id="17">
    <w:p w:rsidR="00DA0396" w:rsidRPr="00A739E8" w:rsidRDefault="00DA0396" w:rsidP="00C92781">
      <w:pPr>
        <w:pStyle w:val="a8"/>
        <w:rPr>
          <w:rFonts w:ascii="Times New Roman" w:hAnsi="Times New Roman"/>
        </w:rPr>
      </w:pPr>
      <w:r w:rsidRPr="00545A1C">
        <w:rPr>
          <w:rStyle w:val="ab"/>
        </w:rPr>
        <w:footnoteRef/>
      </w:r>
      <w:r w:rsidRPr="00545A1C">
        <w:rPr>
          <w:rFonts w:ascii="Times New Roman" w:hAnsi="Times New Roman"/>
          <w:lang w:val="en-US"/>
        </w:rPr>
        <w:t xml:space="preserve"> </w:t>
      </w:r>
      <w:proofErr w:type="spellStart"/>
      <w:r w:rsidRPr="00545A1C">
        <w:rPr>
          <w:rFonts w:ascii="Times New Roman" w:hAnsi="Times New Roman"/>
          <w:lang w:val="en-US"/>
        </w:rPr>
        <w:t>Chaudhuri</w:t>
      </w:r>
      <w:proofErr w:type="spellEnd"/>
      <w:r w:rsidRPr="00545A1C">
        <w:rPr>
          <w:rFonts w:ascii="Times New Roman" w:hAnsi="Times New Roman"/>
          <w:lang w:val="en-US"/>
        </w:rPr>
        <w:t xml:space="preserve"> P., </w:t>
      </w:r>
      <w:proofErr w:type="spellStart"/>
      <w:r w:rsidRPr="00545A1C">
        <w:rPr>
          <w:rFonts w:ascii="Times New Roman" w:hAnsi="Times New Roman"/>
          <w:lang w:val="en-US"/>
        </w:rPr>
        <w:t>Dewanji</w:t>
      </w:r>
      <w:proofErr w:type="spellEnd"/>
      <w:r w:rsidRPr="00545A1C">
        <w:rPr>
          <w:rFonts w:ascii="Times New Roman" w:hAnsi="Times New Roman"/>
          <w:lang w:val="en-US"/>
        </w:rPr>
        <w:t xml:space="preserve"> A. On a Likelihood-based Approach in Nonparametric Smoothing and Cross-validation // Statistics &amp; Probability Letters. </w:t>
      </w:r>
      <w:r w:rsidRPr="00A739E8">
        <w:rPr>
          <w:rFonts w:ascii="Times New Roman" w:hAnsi="Times New Roman"/>
        </w:rPr>
        <w:t xml:space="preserve">1995. </w:t>
      </w:r>
      <w:proofErr w:type="spellStart"/>
      <w:proofErr w:type="gramStart"/>
      <w:r w:rsidRPr="00545A1C">
        <w:rPr>
          <w:rFonts w:ascii="Times New Roman" w:hAnsi="Times New Roman"/>
          <w:lang w:val="en-US"/>
        </w:rPr>
        <w:t>Vol</w:t>
      </w:r>
      <w:proofErr w:type="spellEnd"/>
      <w:r w:rsidRPr="00A739E8">
        <w:rPr>
          <w:rFonts w:ascii="Times New Roman" w:hAnsi="Times New Roman"/>
        </w:rPr>
        <w:t>. 22.</w:t>
      </w:r>
      <w:proofErr w:type="gramEnd"/>
      <w:r w:rsidRPr="00A739E8">
        <w:rPr>
          <w:rFonts w:ascii="Times New Roman" w:hAnsi="Times New Roman"/>
        </w:rPr>
        <w:t xml:space="preserve"> </w:t>
      </w:r>
      <w:r w:rsidRPr="00545A1C">
        <w:rPr>
          <w:rFonts w:ascii="Times New Roman" w:hAnsi="Times New Roman"/>
          <w:lang w:val="en-US"/>
        </w:rPr>
        <w:t>I</w:t>
      </w:r>
      <w:r w:rsidRPr="00A739E8">
        <w:rPr>
          <w:rFonts w:ascii="Times New Roman" w:hAnsi="Times New Roman"/>
        </w:rPr>
        <w:t xml:space="preserve">. 1. </w:t>
      </w:r>
      <w:r w:rsidRPr="00545A1C">
        <w:rPr>
          <w:rFonts w:ascii="Times New Roman" w:hAnsi="Times New Roman"/>
          <w:lang w:val="en-US"/>
        </w:rPr>
        <w:t>P</w:t>
      </w:r>
      <w:r w:rsidRPr="00A739E8">
        <w:rPr>
          <w:rFonts w:ascii="Times New Roman" w:hAnsi="Times New Roman"/>
        </w:rPr>
        <w:t>. 7–15.</w:t>
      </w:r>
    </w:p>
  </w:footnote>
  <w:footnote w:id="18">
    <w:p w:rsidR="00DA0396" w:rsidRPr="0093030D" w:rsidRDefault="00DA0396" w:rsidP="00C92781">
      <w:pPr>
        <w:pStyle w:val="a8"/>
        <w:rPr>
          <w:rFonts w:ascii="Times New Roman" w:hAnsi="Times New Roman"/>
        </w:rPr>
      </w:pPr>
      <w:r w:rsidRPr="0093030D">
        <w:rPr>
          <w:rStyle w:val="ab"/>
        </w:rPr>
        <w:footnoteRef/>
      </w:r>
      <w:r w:rsidRPr="0093030D">
        <w:rPr>
          <w:rFonts w:ascii="Times New Roman" w:hAnsi="Times New Roman"/>
        </w:rPr>
        <w:t xml:space="preserve"> Ильин Е.В. </w:t>
      </w:r>
      <w:r>
        <w:rPr>
          <w:rFonts w:ascii="Times New Roman" w:hAnsi="Times New Roman"/>
        </w:rPr>
        <w:t xml:space="preserve">Механизмы и пределы саморегулирования на финансовых рынках в развитых странах мира. 2012. Стр. 67. </w:t>
      </w:r>
    </w:p>
  </w:footnote>
  <w:footnote w:id="19">
    <w:p w:rsidR="00DA0396" w:rsidRPr="00317DF7" w:rsidRDefault="00DA0396" w:rsidP="00C92781">
      <w:pPr>
        <w:pStyle w:val="a8"/>
        <w:rPr>
          <w:rFonts w:ascii="Times New Roman" w:hAnsi="Times New Roman"/>
        </w:rPr>
      </w:pPr>
      <w:r w:rsidRPr="00317DF7">
        <w:rPr>
          <w:rStyle w:val="ab"/>
        </w:rPr>
        <w:footnoteRef/>
      </w:r>
      <w:r w:rsidRPr="00317DF7">
        <w:rPr>
          <w:rFonts w:ascii="Times New Roman" w:hAnsi="Times New Roman"/>
        </w:rPr>
        <w:t xml:space="preserve"> </w:t>
      </w:r>
      <w:r>
        <w:rPr>
          <w:rFonts w:ascii="Times New Roman" w:hAnsi="Times New Roman"/>
        </w:rPr>
        <w:t>Ильин Е.В. Распределение полномочий регулирования между государством и участниками фондового рынка. 2012. Вестник НАУФОР. Стр. 59-60.</w:t>
      </w:r>
    </w:p>
  </w:footnote>
  <w:footnote w:id="20">
    <w:p w:rsidR="00DA0396" w:rsidRPr="00C92781" w:rsidRDefault="00DA0396" w:rsidP="00C92781">
      <w:pPr>
        <w:pStyle w:val="a8"/>
        <w:rPr>
          <w:rFonts w:ascii="Times New Roman" w:hAnsi="Times New Roman"/>
          <w:lang w:val="en-US"/>
        </w:rPr>
      </w:pPr>
      <w:r w:rsidRPr="00B938DE">
        <w:rPr>
          <w:rStyle w:val="ab"/>
        </w:rPr>
        <w:footnoteRef/>
      </w:r>
      <w:r w:rsidRPr="00B938DE">
        <w:rPr>
          <w:rFonts w:ascii="Times New Roman" w:hAnsi="Times New Roman"/>
        </w:rPr>
        <w:t xml:space="preserve"> Ильин Е.В. Распределение полномочий регулирования между государством и участниками фондового рынка. </w:t>
      </w:r>
      <w:r w:rsidRPr="00C92781">
        <w:rPr>
          <w:rFonts w:ascii="Times New Roman" w:hAnsi="Times New Roman"/>
          <w:lang w:val="en-US"/>
        </w:rPr>
        <w:t xml:space="preserve">2012. </w:t>
      </w:r>
      <w:r w:rsidRPr="00B938DE">
        <w:rPr>
          <w:rFonts w:ascii="Times New Roman" w:hAnsi="Times New Roman"/>
        </w:rPr>
        <w:t>Вестник</w:t>
      </w:r>
      <w:r w:rsidRPr="00C92781">
        <w:rPr>
          <w:rFonts w:ascii="Times New Roman" w:hAnsi="Times New Roman"/>
          <w:lang w:val="en-US"/>
        </w:rPr>
        <w:t xml:space="preserve"> </w:t>
      </w:r>
      <w:r w:rsidRPr="00B938DE">
        <w:rPr>
          <w:rFonts w:ascii="Times New Roman" w:hAnsi="Times New Roman"/>
        </w:rPr>
        <w:t>НАУФОР</w:t>
      </w:r>
      <w:r w:rsidRPr="00C92781">
        <w:rPr>
          <w:rFonts w:ascii="Times New Roman" w:hAnsi="Times New Roman"/>
          <w:lang w:val="en-US"/>
        </w:rPr>
        <w:t xml:space="preserve">. </w:t>
      </w:r>
      <w:proofErr w:type="spellStart"/>
      <w:r w:rsidRPr="00B938DE">
        <w:rPr>
          <w:rFonts w:ascii="Times New Roman" w:hAnsi="Times New Roman"/>
        </w:rPr>
        <w:t>Стр</w:t>
      </w:r>
      <w:proofErr w:type="spellEnd"/>
      <w:r w:rsidRPr="00C92781">
        <w:rPr>
          <w:rFonts w:ascii="Times New Roman" w:hAnsi="Times New Roman"/>
          <w:lang w:val="en-US"/>
        </w:rPr>
        <w:t>. 59-60.</w:t>
      </w:r>
    </w:p>
  </w:footnote>
  <w:footnote w:id="21">
    <w:p w:rsidR="00DA0396" w:rsidRPr="00A739E8" w:rsidRDefault="00DA0396" w:rsidP="00C92781">
      <w:pPr>
        <w:pStyle w:val="a8"/>
        <w:rPr>
          <w:rFonts w:ascii="Times New Roman" w:hAnsi="Times New Roman"/>
        </w:rPr>
      </w:pPr>
      <w:r w:rsidRPr="001E6EDA">
        <w:rPr>
          <w:rStyle w:val="ab"/>
        </w:rPr>
        <w:footnoteRef/>
      </w:r>
      <w:r w:rsidRPr="001E6EDA">
        <w:rPr>
          <w:rFonts w:ascii="Times New Roman" w:hAnsi="Times New Roman"/>
          <w:lang w:val="en-US"/>
        </w:rPr>
        <w:t xml:space="preserve"> </w:t>
      </w:r>
      <w:proofErr w:type="spellStart"/>
      <w:proofErr w:type="gramStart"/>
      <w:r>
        <w:rPr>
          <w:rFonts w:ascii="Times New Roman" w:hAnsi="Times New Roman"/>
          <w:lang w:val="en-US"/>
        </w:rPr>
        <w:t>Armson</w:t>
      </w:r>
      <w:proofErr w:type="spellEnd"/>
      <w:r>
        <w:rPr>
          <w:rFonts w:ascii="Times New Roman" w:hAnsi="Times New Roman"/>
          <w:lang w:val="en-US"/>
        </w:rPr>
        <w:t xml:space="preserve"> E. False Trading and Market Rigging in Australia.</w:t>
      </w:r>
      <w:proofErr w:type="gramEnd"/>
      <w:r>
        <w:rPr>
          <w:rFonts w:ascii="Times New Roman" w:hAnsi="Times New Roman"/>
          <w:lang w:val="en-US"/>
        </w:rPr>
        <w:t xml:space="preserve"> </w:t>
      </w:r>
      <w:r w:rsidRPr="00A739E8">
        <w:rPr>
          <w:rFonts w:ascii="Times New Roman" w:hAnsi="Times New Roman"/>
        </w:rPr>
        <w:t xml:space="preserve">2009. </w:t>
      </w:r>
      <w:r>
        <w:rPr>
          <w:rFonts w:ascii="Times New Roman" w:hAnsi="Times New Roman"/>
          <w:lang w:val="en-US"/>
        </w:rPr>
        <w:t>P</w:t>
      </w:r>
      <w:r w:rsidRPr="00A739E8">
        <w:rPr>
          <w:rFonts w:ascii="Times New Roman" w:hAnsi="Times New Roman"/>
        </w:rPr>
        <w:t xml:space="preserve">. 3-4. </w:t>
      </w:r>
    </w:p>
  </w:footnote>
  <w:footnote w:id="22">
    <w:p w:rsidR="00DA0396" w:rsidRPr="00784253" w:rsidRDefault="00DA0396" w:rsidP="00C92781">
      <w:pPr>
        <w:pStyle w:val="a8"/>
        <w:rPr>
          <w:rFonts w:ascii="Times New Roman" w:hAnsi="Times New Roman"/>
        </w:rPr>
      </w:pPr>
      <w:r w:rsidRPr="00784253">
        <w:rPr>
          <w:rStyle w:val="ab"/>
        </w:rPr>
        <w:footnoteRef/>
      </w:r>
      <w:r w:rsidRPr="00784253">
        <w:rPr>
          <w:rFonts w:ascii="Times New Roman" w:hAnsi="Times New Roman"/>
        </w:rPr>
        <w:t xml:space="preserve"> </w:t>
      </w:r>
      <w:r>
        <w:rPr>
          <w:rFonts w:ascii="Times New Roman" w:hAnsi="Times New Roman"/>
        </w:rPr>
        <w:t xml:space="preserve">Ильин Е.В. </w:t>
      </w:r>
      <w:r w:rsidRPr="00784253">
        <w:rPr>
          <w:rFonts w:ascii="Times New Roman" w:hAnsi="Times New Roman"/>
        </w:rPr>
        <w:t>Конфликт интересов в саморегулируемых организациях США и неэффективность финансового рынка</w:t>
      </w:r>
      <w:r>
        <w:rPr>
          <w:rFonts w:ascii="Times New Roman" w:hAnsi="Times New Roman"/>
        </w:rPr>
        <w:t xml:space="preserve">. Экономический журнал ВШЭ. 2012. Стр. 276.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16E1"/>
    <w:multiLevelType w:val="hybridMultilevel"/>
    <w:tmpl w:val="D3BC7F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E04145"/>
    <w:multiLevelType w:val="hybridMultilevel"/>
    <w:tmpl w:val="A3B8329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ECF14E6"/>
    <w:multiLevelType w:val="hybridMultilevel"/>
    <w:tmpl w:val="CAF6F4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E98"/>
    <w:rsid w:val="00012675"/>
    <w:rsid w:val="000150EF"/>
    <w:rsid w:val="00025F40"/>
    <w:rsid w:val="000A78EF"/>
    <w:rsid w:val="000B4827"/>
    <w:rsid w:val="00103A8A"/>
    <w:rsid w:val="00112165"/>
    <w:rsid w:val="0011383F"/>
    <w:rsid w:val="00161F93"/>
    <w:rsid w:val="001A2C19"/>
    <w:rsid w:val="00204183"/>
    <w:rsid w:val="00205174"/>
    <w:rsid w:val="00216C71"/>
    <w:rsid w:val="002242A6"/>
    <w:rsid w:val="002728F0"/>
    <w:rsid w:val="0028774B"/>
    <w:rsid w:val="002D5C41"/>
    <w:rsid w:val="0031249A"/>
    <w:rsid w:val="00314E98"/>
    <w:rsid w:val="003319CB"/>
    <w:rsid w:val="003515AC"/>
    <w:rsid w:val="0036255F"/>
    <w:rsid w:val="003A079E"/>
    <w:rsid w:val="003A5CAD"/>
    <w:rsid w:val="004228F6"/>
    <w:rsid w:val="004249EB"/>
    <w:rsid w:val="00470D54"/>
    <w:rsid w:val="004D16DD"/>
    <w:rsid w:val="00540347"/>
    <w:rsid w:val="0055510B"/>
    <w:rsid w:val="005A7469"/>
    <w:rsid w:val="005C372D"/>
    <w:rsid w:val="005C5FA8"/>
    <w:rsid w:val="00613ECE"/>
    <w:rsid w:val="00615F1B"/>
    <w:rsid w:val="00622C25"/>
    <w:rsid w:val="00634C77"/>
    <w:rsid w:val="007357C9"/>
    <w:rsid w:val="00747034"/>
    <w:rsid w:val="0075260E"/>
    <w:rsid w:val="00757ED9"/>
    <w:rsid w:val="00766690"/>
    <w:rsid w:val="007D3082"/>
    <w:rsid w:val="00804093"/>
    <w:rsid w:val="0080665F"/>
    <w:rsid w:val="008560AD"/>
    <w:rsid w:val="00893D47"/>
    <w:rsid w:val="008B4408"/>
    <w:rsid w:val="008F155F"/>
    <w:rsid w:val="00926A6C"/>
    <w:rsid w:val="0093322B"/>
    <w:rsid w:val="00964DB3"/>
    <w:rsid w:val="0097055C"/>
    <w:rsid w:val="00986F2F"/>
    <w:rsid w:val="009A581D"/>
    <w:rsid w:val="009D1AB4"/>
    <w:rsid w:val="00A10C03"/>
    <w:rsid w:val="00A14CBD"/>
    <w:rsid w:val="00A7106E"/>
    <w:rsid w:val="00AB3269"/>
    <w:rsid w:val="00AB4A27"/>
    <w:rsid w:val="00B43709"/>
    <w:rsid w:val="00B865D7"/>
    <w:rsid w:val="00BA7285"/>
    <w:rsid w:val="00BA7CF1"/>
    <w:rsid w:val="00BB26AF"/>
    <w:rsid w:val="00BF3205"/>
    <w:rsid w:val="00C07830"/>
    <w:rsid w:val="00C160EA"/>
    <w:rsid w:val="00C242B4"/>
    <w:rsid w:val="00C648E1"/>
    <w:rsid w:val="00C92781"/>
    <w:rsid w:val="00CB5BDB"/>
    <w:rsid w:val="00D761D4"/>
    <w:rsid w:val="00DA0396"/>
    <w:rsid w:val="00DC0F73"/>
    <w:rsid w:val="00DC5EF4"/>
    <w:rsid w:val="00DE7D80"/>
    <w:rsid w:val="00E01B46"/>
    <w:rsid w:val="00E13680"/>
    <w:rsid w:val="00E46088"/>
    <w:rsid w:val="00E75BDA"/>
    <w:rsid w:val="00EF0AA4"/>
    <w:rsid w:val="00F233C6"/>
    <w:rsid w:val="00F24DBB"/>
    <w:rsid w:val="00F509FE"/>
    <w:rsid w:val="00F640BA"/>
    <w:rsid w:val="00F91E8A"/>
    <w:rsid w:val="00F93EB3"/>
    <w:rsid w:val="00FB1D00"/>
    <w:rsid w:val="00FB3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49A"/>
    <w:pPr>
      <w:ind w:left="720"/>
      <w:contextualSpacing/>
    </w:pPr>
  </w:style>
  <w:style w:type="paragraph" w:styleId="a4">
    <w:name w:val="header"/>
    <w:basedOn w:val="a"/>
    <w:link w:val="a5"/>
    <w:uiPriority w:val="99"/>
    <w:unhideWhenUsed/>
    <w:rsid w:val="00F91E8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91E8A"/>
  </w:style>
  <w:style w:type="paragraph" w:styleId="a6">
    <w:name w:val="footer"/>
    <w:basedOn w:val="a"/>
    <w:link w:val="a7"/>
    <w:uiPriority w:val="99"/>
    <w:unhideWhenUsed/>
    <w:rsid w:val="00F91E8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91E8A"/>
  </w:style>
  <w:style w:type="paragraph" w:styleId="a8">
    <w:name w:val="footnote text"/>
    <w:basedOn w:val="a"/>
    <w:link w:val="a9"/>
    <w:uiPriority w:val="99"/>
    <w:semiHidden/>
    <w:unhideWhenUsed/>
    <w:rsid w:val="00986F2F"/>
    <w:rPr>
      <w:rFonts w:ascii="Calibri" w:eastAsia="Calibri" w:hAnsi="Calibri" w:cs="Times New Roman"/>
      <w:sz w:val="20"/>
      <w:szCs w:val="20"/>
    </w:rPr>
  </w:style>
  <w:style w:type="character" w:customStyle="1" w:styleId="a9">
    <w:name w:val="Текст сноски Знак"/>
    <w:basedOn w:val="a0"/>
    <w:link w:val="a8"/>
    <w:uiPriority w:val="99"/>
    <w:semiHidden/>
    <w:rsid w:val="00986F2F"/>
    <w:rPr>
      <w:rFonts w:ascii="Calibri" w:eastAsia="Calibri" w:hAnsi="Calibri" w:cs="Times New Roman"/>
      <w:sz w:val="20"/>
      <w:szCs w:val="20"/>
    </w:rPr>
  </w:style>
  <w:style w:type="paragraph" w:styleId="aa">
    <w:name w:val="caption"/>
    <w:basedOn w:val="a"/>
    <w:next w:val="a"/>
    <w:uiPriority w:val="99"/>
    <w:semiHidden/>
    <w:unhideWhenUsed/>
    <w:qFormat/>
    <w:rsid w:val="00986F2F"/>
    <w:pPr>
      <w:spacing w:line="240" w:lineRule="auto"/>
    </w:pPr>
    <w:rPr>
      <w:rFonts w:ascii="Calibri" w:eastAsia="Calibri" w:hAnsi="Calibri" w:cs="Times New Roman"/>
      <w:b/>
      <w:bCs/>
      <w:color w:val="4F81BD"/>
      <w:sz w:val="18"/>
      <w:szCs w:val="18"/>
    </w:rPr>
  </w:style>
  <w:style w:type="character" w:styleId="ab">
    <w:name w:val="footnote reference"/>
    <w:basedOn w:val="a0"/>
    <w:uiPriority w:val="99"/>
    <w:semiHidden/>
    <w:unhideWhenUsed/>
    <w:rsid w:val="00986F2F"/>
    <w:rPr>
      <w:rFonts w:ascii="Times New Roman" w:hAnsi="Times New Roman" w:cs="Times New Roman" w:hint="default"/>
      <w:vertAlign w:val="superscript"/>
    </w:rPr>
  </w:style>
  <w:style w:type="character" w:styleId="ac">
    <w:name w:val="Hyperlink"/>
    <w:semiHidden/>
    <w:unhideWhenUsed/>
    <w:rsid w:val="00BB26AF"/>
    <w:rPr>
      <w:color w:val="0000FF"/>
      <w:u w:val="single"/>
    </w:rPr>
  </w:style>
  <w:style w:type="paragraph" w:styleId="ad">
    <w:name w:val="Balloon Text"/>
    <w:basedOn w:val="a"/>
    <w:link w:val="ae"/>
    <w:uiPriority w:val="99"/>
    <w:semiHidden/>
    <w:unhideWhenUsed/>
    <w:rsid w:val="00C9278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92781"/>
    <w:rPr>
      <w:rFonts w:ascii="Tahoma" w:hAnsi="Tahoma" w:cs="Tahoma"/>
      <w:sz w:val="16"/>
      <w:szCs w:val="16"/>
    </w:rPr>
  </w:style>
  <w:style w:type="paragraph" w:customStyle="1" w:styleId="FR1">
    <w:name w:val="FR1"/>
    <w:rsid w:val="00BA7285"/>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49A"/>
    <w:pPr>
      <w:ind w:left="720"/>
      <w:contextualSpacing/>
    </w:pPr>
  </w:style>
  <w:style w:type="paragraph" w:styleId="a4">
    <w:name w:val="header"/>
    <w:basedOn w:val="a"/>
    <w:link w:val="a5"/>
    <w:uiPriority w:val="99"/>
    <w:unhideWhenUsed/>
    <w:rsid w:val="00F91E8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91E8A"/>
  </w:style>
  <w:style w:type="paragraph" w:styleId="a6">
    <w:name w:val="footer"/>
    <w:basedOn w:val="a"/>
    <w:link w:val="a7"/>
    <w:uiPriority w:val="99"/>
    <w:unhideWhenUsed/>
    <w:rsid w:val="00F91E8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91E8A"/>
  </w:style>
  <w:style w:type="paragraph" w:styleId="a8">
    <w:name w:val="footnote text"/>
    <w:basedOn w:val="a"/>
    <w:link w:val="a9"/>
    <w:uiPriority w:val="99"/>
    <w:semiHidden/>
    <w:unhideWhenUsed/>
    <w:rsid w:val="00986F2F"/>
    <w:rPr>
      <w:rFonts w:ascii="Calibri" w:eastAsia="Calibri" w:hAnsi="Calibri" w:cs="Times New Roman"/>
      <w:sz w:val="20"/>
      <w:szCs w:val="20"/>
    </w:rPr>
  </w:style>
  <w:style w:type="character" w:customStyle="1" w:styleId="a9">
    <w:name w:val="Текст сноски Знак"/>
    <w:basedOn w:val="a0"/>
    <w:link w:val="a8"/>
    <w:uiPriority w:val="99"/>
    <w:semiHidden/>
    <w:rsid w:val="00986F2F"/>
    <w:rPr>
      <w:rFonts w:ascii="Calibri" w:eastAsia="Calibri" w:hAnsi="Calibri" w:cs="Times New Roman"/>
      <w:sz w:val="20"/>
      <w:szCs w:val="20"/>
    </w:rPr>
  </w:style>
  <w:style w:type="paragraph" w:styleId="aa">
    <w:name w:val="caption"/>
    <w:basedOn w:val="a"/>
    <w:next w:val="a"/>
    <w:uiPriority w:val="99"/>
    <w:semiHidden/>
    <w:unhideWhenUsed/>
    <w:qFormat/>
    <w:rsid w:val="00986F2F"/>
    <w:pPr>
      <w:spacing w:line="240" w:lineRule="auto"/>
    </w:pPr>
    <w:rPr>
      <w:rFonts w:ascii="Calibri" w:eastAsia="Calibri" w:hAnsi="Calibri" w:cs="Times New Roman"/>
      <w:b/>
      <w:bCs/>
      <w:color w:val="4F81BD"/>
      <w:sz w:val="18"/>
      <w:szCs w:val="18"/>
    </w:rPr>
  </w:style>
  <w:style w:type="character" w:styleId="ab">
    <w:name w:val="footnote reference"/>
    <w:basedOn w:val="a0"/>
    <w:uiPriority w:val="99"/>
    <w:semiHidden/>
    <w:unhideWhenUsed/>
    <w:rsid w:val="00986F2F"/>
    <w:rPr>
      <w:rFonts w:ascii="Times New Roman" w:hAnsi="Times New Roman" w:cs="Times New Roman" w:hint="default"/>
      <w:vertAlign w:val="superscript"/>
    </w:rPr>
  </w:style>
  <w:style w:type="character" w:styleId="ac">
    <w:name w:val="Hyperlink"/>
    <w:semiHidden/>
    <w:unhideWhenUsed/>
    <w:rsid w:val="00BB26AF"/>
    <w:rPr>
      <w:color w:val="0000FF"/>
      <w:u w:val="single"/>
    </w:rPr>
  </w:style>
  <w:style w:type="paragraph" w:styleId="ad">
    <w:name w:val="Balloon Text"/>
    <w:basedOn w:val="a"/>
    <w:link w:val="ae"/>
    <w:uiPriority w:val="99"/>
    <w:semiHidden/>
    <w:unhideWhenUsed/>
    <w:rsid w:val="00C9278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92781"/>
    <w:rPr>
      <w:rFonts w:ascii="Tahoma" w:hAnsi="Tahoma" w:cs="Tahoma"/>
      <w:sz w:val="16"/>
      <w:szCs w:val="16"/>
    </w:rPr>
  </w:style>
  <w:style w:type="paragraph" w:customStyle="1" w:styleId="FR1">
    <w:name w:val="FR1"/>
    <w:rsid w:val="00BA7285"/>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21" Type="http://schemas.openxmlformats.org/officeDocument/2006/relationships/chart" Target="charts/chart2.xml"/><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63" Type="http://schemas.openxmlformats.org/officeDocument/2006/relationships/image" Target="media/image53.wmf"/><Relationship Id="rId68" Type="http://schemas.openxmlformats.org/officeDocument/2006/relationships/image" Target="media/image58.wmf"/><Relationship Id="rId76" Type="http://schemas.openxmlformats.org/officeDocument/2006/relationships/image" Target="media/image66.wmf"/><Relationship Id="rId84" Type="http://schemas.openxmlformats.org/officeDocument/2006/relationships/image" Target="media/image74.wmf"/><Relationship Id="rId89" Type="http://schemas.openxmlformats.org/officeDocument/2006/relationships/image" Target="media/image79.wmf"/><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61.wmf"/><Relationship Id="rId92" Type="http://schemas.openxmlformats.org/officeDocument/2006/relationships/image" Target="media/image82.wmf"/><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image" Target="media/image19.wmf"/><Relationship Id="rId11" Type="http://schemas.openxmlformats.org/officeDocument/2006/relationships/image" Target="media/image3.e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66" Type="http://schemas.openxmlformats.org/officeDocument/2006/relationships/image" Target="media/image56.wmf"/><Relationship Id="rId74" Type="http://schemas.openxmlformats.org/officeDocument/2006/relationships/image" Target="media/image64.wmf"/><Relationship Id="rId79" Type="http://schemas.openxmlformats.org/officeDocument/2006/relationships/image" Target="media/image69.wmf"/><Relationship Id="rId87" Type="http://schemas.openxmlformats.org/officeDocument/2006/relationships/image" Target="media/image77.wmf"/><Relationship Id="rId5" Type="http://schemas.openxmlformats.org/officeDocument/2006/relationships/settings" Target="settings.xml"/><Relationship Id="rId61" Type="http://schemas.openxmlformats.org/officeDocument/2006/relationships/image" Target="media/image51.wmf"/><Relationship Id="rId82" Type="http://schemas.openxmlformats.org/officeDocument/2006/relationships/image" Target="media/image72.wmf"/><Relationship Id="rId90" Type="http://schemas.openxmlformats.org/officeDocument/2006/relationships/image" Target="media/image80.wmf"/><Relationship Id="rId95" Type="http://schemas.openxmlformats.org/officeDocument/2006/relationships/footer" Target="footer1.xml"/><Relationship Id="rId19" Type="http://schemas.openxmlformats.org/officeDocument/2006/relationships/image" Target="media/image10.png"/><Relationship Id="rId14" Type="http://schemas.openxmlformats.org/officeDocument/2006/relationships/image" Target="media/image6.png"/><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64" Type="http://schemas.openxmlformats.org/officeDocument/2006/relationships/image" Target="media/image54.wmf"/><Relationship Id="rId69" Type="http://schemas.openxmlformats.org/officeDocument/2006/relationships/image" Target="media/image59.wmf"/><Relationship Id="rId77" Type="http://schemas.openxmlformats.org/officeDocument/2006/relationships/image" Target="media/image67.wmf"/><Relationship Id="rId8" Type="http://schemas.openxmlformats.org/officeDocument/2006/relationships/endnotes" Target="endnotes.xml"/><Relationship Id="rId51" Type="http://schemas.openxmlformats.org/officeDocument/2006/relationships/image" Target="media/image41.wmf"/><Relationship Id="rId72" Type="http://schemas.openxmlformats.org/officeDocument/2006/relationships/image" Target="media/image62.wmf"/><Relationship Id="rId80" Type="http://schemas.openxmlformats.org/officeDocument/2006/relationships/image" Target="media/image70.wmf"/><Relationship Id="rId85" Type="http://schemas.openxmlformats.org/officeDocument/2006/relationships/image" Target="media/image75.wmf"/><Relationship Id="rId93" Type="http://schemas.openxmlformats.org/officeDocument/2006/relationships/image" Target="media/image83.wmf"/><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67" Type="http://schemas.openxmlformats.org/officeDocument/2006/relationships/image" Target="media/image57.wmf"/><Relationship Id="rId20" Type="http://schemas.openxmlformats.org/officeDocument/2006/relationships/image" Target="media/image11.png"/><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image" Target="media/image52.wmf"/><Relationship Id="rId70" Type="http://schemas.openxmlformats.org/officeDocument/2006/relationships/image" Target="media/image60.wmf"/><Relationship Id="rId75" Type="http://schemas.openxmlformats.org/officeDocument/2006/relationships/image" Target="media/image65.wmf"/><Relationship Id="rId83" Type="http://schemas.openxmlformats.org/officeDocument/2006/relationships/image" Target="media/image73.wmf"/><Relationship Id="rId88" Type="http://schemas.openxmlformats.org/officeDocument/2006/relationships/image" Target="media/image78.wmf"/><Relationship Id="rId91" Type="http://schemas.openxmlformats.org/officeDocument/2006/relationships/image" Target="media/image81.wmf"/><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10" Type="http://schemas.openxmlformats.org/officeDocument/2006/relationships/image" Target="media/image2.png"/><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65" Type="http://schemas.openxmlformats.org/officeDocument/2006/relationships/image" Target="media/image55.wmf"/><Relationship Id="rId73" Type="http://schemas.openxmlformats.org/officeDocument/2006/relationships/image" Target="media/image63.wmf"/><Relationship Id="rId78" Type="http://schemas.openxmlformats.org/officeDocument/2006/relationships/image" Target="media/image68.wmf"/><Relationship Id="rId81" Type="http://schemas.openxmlformats.org/officeDocument/2006/relationships/image" Target="media/image71.wmf"/><Relationship Id="rId86" Type="http://schemas.openxmlformats.org/officeDocument/2006/relationships/image" Target="media/image76.wmf"/><Relationship Id="rId94" Type="http://schemas.openxmlformats.org/officeDocument/2006/relationships/image" Target="media/image84.wmf"/><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9" Type="http://schemas.openxmlformats.org/officeDocument/2006/relationships/image" Target="media/image29.wmf"/></Relationships>
</file>

<file path=word/_rels/footnotes.xml.rels><?xml version="1.0" encoding="UTF-8" standalone="yes"?>
<Relationships xmlns="http://schemas.openxmlformats.org/package/2006/relationships"><Relationship Id="rId3" Type="http://schemas.openxmlformats.org/officeDocument/2006/relationships/hyperlink" Target="https://www.asic.gov.au/asic/asic.nsf/" TargetMode="External"/><Relationship Id="rId2" Type="http://schemas.openxmlformats.org/officeDocument/2006/relationships/hyperlink" Target="http://www.asic.gov.au/asic/asic.nsf/" TargetMode="External"/><Relationship Id="rId1" Type="http://schemas.openxmlformats.org/officeDocument/2006/relationships/hyperlink" Target="http://www.wealthprofessional.com.a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tockChart>
        <c:ser>
          <c:idx val="0"/>
          <c:order val="0"/>
          <c:spPr>
            <a:ln w="28575">
              <a:noFill/>
            </a:ln>
          </c:spPr>
          <c:marker>
            <c:symbol val="none"/>
          </c:marker>
          <c:dLbls>
            <c:txPr>
              <a:bodyPr/>
              <a:lstStyle/>
              <a:p>
                <a:pPr>
                  <a:defRPr b="1"/>
                </a:pPr>
                <a:endParaRPr lang="ru-RU"/>
              </a:p>
            </c:txPr>
            <c:showLegendKey val="0"/>
            <c:showVal val="1"/>
            <c:showCatName val="0"/>
            <c:showSerName val="0"/>
            <c:showPercent val="0"/>
            <c:showBubbleSize val="0"/>
            <c:showLeaderLines val="0"/>
          </c:dLbls>
          <c:cat>
            <c:numRef>
              <c:f>Свечи!$A$3:$A$11</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Свечи!$B$3:$B$11</c:f>
              <c:numCache>
                <c:formatCode>0.00</c:formatCode>
                <c:ptCount val="9"/>
                <c:pt idx="0">
                  <c:v>0.40731428571428591</c:v>
                </c:pt>
                <c:pt idx="1">
                  <c:v>0.39637142857142876</c:v>
                </c:pt>
                <c:pt idx="2">
                  <c:v>0.278342857142857</c:v>
                </c:pt>
                <c:pt idx="3">
                  <c:v>0.45934285714285689</c:v>
                </c:pt>
                <c:pt idx="4">
                  <c:v>0.3985428571428572</c:v>
                </c:pt>
                <c:pt idx="5">
                  <c:v>0.46337142857142838</c:v>
                </c:pt>
                <c:pt idx="6">
                  <c:v>0.43125714285714267</c:v>
                </c:pt>
                <c:pt idx="7">
                  <c:v>0.29928571428571427</c:v>
                </c:pt>
                <c:pt idx="8">
                  <c:v>0.53648571428571412</c:v>
                </c:pt>
              </c:numCache>
            </c:numRef>
          </c:val>
          <c:smooth val="0"/>
        </c:ser>
        <c:ser>
          <c:idx val="1"/>
          <c:order val="1"/>
          <c:spPr>
            <a:ln w="28575">
              <a:noFill/>
            </a:ln>
          </c:spPr>
          <c:marker>
            <c:symbol val="none"/>
          </c:marker>
          <c:dLbls>
            <c:dLbl>
              <c:idx val="0"/>
              <c:layout>
                <c:manualLayout>
                  <c:x val="-5.5555555555555559E-2"/>
                  <c:y val="-3.7037037037037035E-2"/>
                </c:manualLayout>
              </c:layout>
              <c:showLegendKey val="0"/>
              <c:showVal val="1"/>
              <c:showCatName val="0"/>
              <c:showSerName val="0"/>
              <c:showPercent val="0"/>
              <c:showBubbleSize val="0"/>
            </c:dLbl>
            <c:dLbl>
              <c:idx val="1"/>
              <c:layout>
                <c:manualLayout>
                  <c:x val="-5.2777777777777785E-2"/>
                  <c:y val="-3.7037037037037056E-2"/>
                </c:manualLayout>
              </c:layout>
              <c:showLegendKey val="0"/>
              <c:showVal val="1"/>
              <c:showCatName val="0"/>
              <c:showSerName val="0"/>
              <c:showPercent val="0"/>
              <c:showBubbleSize val="0"/>
            </c:dLbl>
            <c:dLbl>
              <c:idx val="2"/>
              <c:layout>
                <c:manualLayout>
                  <c:x val="-4.444444444444446E-2"/>
                  <c:y val="-4.166666666666665E-2"/>
                </c:manualLayout>
              </c:layout>
              <c:showLegendKey val="0"/>
              <c:showVal val="1"/>
              <c:showCatName val="0"/>
              <c:showSerName val="0"/>
              <c:showPercent val="0"/>
              <c:showBubbleSize val="0"/>
            </c:dLbl>
            <c:dLbl>
              <c:idx val="3"/>
              <c:layout>
                <c:manualLayout>
                  <c:x val="-4.7222222222222228E-2"/>
                  <c:y val="-4.1666666666666664E-2"/>
                </c:manualLayout>
              </c:layout>
              <c:showLegendKey val="0"/>
              <c:showVal val="1"/>
              <c:showCatName val="0"/>
              <c:showSerName val="0"/>
              <c:showPercent val="0"/>
              <c:showBubbleSize val="0"/>
            </c:dLbl>
            <c:dLbl>
              <c:idx val="4"/>
              <c:layout>
                <c:manualLayout>
                  <c:x val="-5.2777777777777785E-2"/>
                  <c:y val="-3.7037037037037042E-2"/>
                </c:manualLayout>
              </c:layout>
              <c:showLegendKey val="0"/>
              <c:showVal val="1"/>
              <c:showCatName val="0"/>
              <c:showSerName val="0"/>
              <c:showPercent val="0"/>
              <c:showBubbleSize val="0"/>
            </c:dLbl>
            <c:dLbl>
              <c:idx val="5"/>
              <c:layout>
                <c:manualLayout>
                  <c:x val="-5.2777777777777785E-2"/>
                  <c:y val="-3.7037037037037042E-2"/>
                </c:manualLayout>
              </c:layout>
              <c:showLegendKey val="0"/>
              <c:showVal val="1"/>
              <c:showCatName val="0"/>
              <c:showSerName val="0"/>
              <c:showPercent val="0"/>
              <c:showBubbleSize val="0"/>
            </c:dLbl>
            <c:dLbl>
              <c:idx val="6"/>
              <c:layout>
                <c:manualLayout>
                  <c:x val="-5.8333333333333348E-2"/>
                  <c:y val="-3.7037037037037042E-2"/>
                </c:manualLayout>
              </c:layout>
              <c:showLegendKey val="0"/>
              <c:showVal val="1"/>
              <c:showCatName val="0"/>
              <c:showSerName val="0"/>
              <c:showPercent val="0"/>
              <c:showBubbleSize val="0"/>
            </c:dLbl>
            <c:dLbl>
              <c:idx val="7"/>
              <c:layout>
                <c:manualLayout>
                  <c:x val="-3.8888888888888994E-2"/>
                  <c:y val="-3.7037037037037042E-2"/>
                </c:manualLayout>
              </c:layout>
              <c:showLegendKey val="0"/>
              <c:showVal val="1"/>
              <c:showCatName val="0"/>
              <c:showSerName val="0"/>
              <c:showPercent val="0"/>
              <c:showBubbleSize val="0"/>
            </c:dLbl>
            <c:dLbl>
              <c:idx val="8"/>
              <c:layout>
                <c:manualLayout>
                  <c:x val="-3.333333333333334E-2"/>
                  <c:y val="-3.7037037037037042E-2"/>
                </c:manualLayout>
              </c:layout>
              <c:showLegendKey val="0"/>
              <c:showVal val="1"/>
              <c:showCatName val="0"/>
              <c:showSerName val="0"/>
              <c:showPercent val="0"/>
              <c:showBubbleSize val="0"/>
            </c:dLbl>
            <c:txPr>
              <a:bodyPr/>
              <a:lstStyle/>
              <a:p>
                <a:pPr>
                  <a:defRPr>
                    <a:solidFill>
                      <a:schemeClr val="accent4">
                        <a:lumMod val="75000"/>
                      </a:schemeClr>
                    </a:solidFill>
                  </a:defRPr>
                </a:pPr>
                <a:endParaRPr lang="ru-RU"/>
              </a:p>
            </c:txPr>
            <c:showLegendKey val="0"/>
            <c:showVal val="1"/>
            <c:showCatName val="0"/>
            <c:showSerName val="0"/>
            <c:showPercent val="0"/>
            <c:showBubbleSize val="0"/>
            <c:showLeaderLines val="0"/>
          </c:dLbls>
          <c:cat>
            <c:numRef>
              <c:f>Свечи!$A$3:$A$11</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Свечи!$C$3:$C$11</c:f>
              <c:numCache>
                <c:formatCode>General</c:formatCode>
                <c:ptCount val="9"/>
                <c:pt idx="0">
                  <c:v>1.7230000000000001</c:v>
                </c:pt>
                <c:pt idx="1">
                  <c:v>1.5349999999999999</c:v>
                </c:pt>
                <c:pt idx="2">
                  <c:v>1.56</c:v>
                </c:pt>
                <c:pt idx="3">
                  <c:v>1.72</c:v>
                </c:pt>
                <c:pt idx="4">
                  <c:v>1.556</c:v>
                </c:pt>
                <c:pt idx="5">
                  <c:v>1.5920000000000001</c:v>
                </c:pt>
                <c:pt idx="6">
                  <c:v>1.768</c:v>
                </c:pt>
                <c:pt idx="7">
                  <c:v>1.7</c:v>
                </c:pt>
                <c:pt idx="8">
                  <c:v>1.639</c:v>
                </c:pt>
              </c:numCache>
            </c:numRef>
          </c:val>
          <c:smooth val="0"/>
        </c:ser>
        <c:ser>
          <c:idx val="2"/>
          <c:order val="2"/>
          <c:spPr>
            <a:ln w="28575">
              <a:noFill/>
            </a:ln>
          </c:spPr>
          <c:marker>
            <c:symbol val="none"/>
          </c:marker>
          <c:dLbls>
            <c:dLbl>
              <c:idx val="0"/>
              <c:layout>
                <c:manualLayout>
                  <c:x val="-4.4444663167104104E-2"/>
                  <c:y val="0.10648148148148151"/>
                </c:manualLayout>
              </c:layout>
              <c:showLegendKey val="0"/>
              <c:showVal val="1"/>
              <c:showCatName val="0"/>
              <c:showSerName val="0"/>
              <c:showPercent val="0"/>
              <c:showBubbleSize val="0"/>
            </c:dLbl>
            <c:dLbl>
              <c:idx val="1"/>
              <c:layout>
                <c:manualLayout>
                  <c:x val="-4.9878761444459269E-2"/>
                  <c:y val="0.10185185185185186"/>
                </c:manualLayout>
              </c:layout>
              <c:showLegendKey val="0"/>
              <c:showVal val="1"/>
              <c:showCatName val="0"/>
              <c:showSerName val="0"/>
              <c:showPercent val="0"/>
              <c:showBubbleSize val="0"/>
            </c:dLbl>
            <c:dLbl>
              <c:idx val="2"/>
              <c:layout>
                <c:manualLayout>
                  <c:x val="-4.4336676839519369E-2"/>
                  <c:y val="0.11574074074074076"/>
                </c:manualLayout>
              </c:layout>
              <c:showLegendKey val="0"/>
              <c:showVal val="1"/>
              <c:showCatName val="0"/>
              <c:showSerName val="0"/>
              <c:showPercent val="0"/>
              <c:showBubbleSize val="0"/>
            </c:dLbl>
            <c:dLbl>
              <c:idx val="3"/>
              <c:layout>
                <c:manualLayout>
                  <c:x val="-4.4336676839519369E-2"/>
                  <c:y val="8.7962962962962993E-2"/>
                </c:manualLayout>
              </c:layout>
              <c:showLegendKey val="0"/>
              <c:showVal val="1"/>
              <c:showCatName val="0"/>
              <c:showSerName val="0"/>
              <c:showPercent val="0"/>
              <c:showBubbleSize val="0"/>
            </c:dLbl>
            <c:dLbl>
              <c:idx val="4"/>
              <c:layout>
                <c:manualLayout>
                  <c:x val="-4.4336676839519369E-2"/>
                  <c:y val="0.10648148148148151"/>
                </c:manualLayout>
              </c:layout>
              <c:showLegendKey val="0"/>
              <c:showVal val="1"/>
              <c:showCatName val="0"/>
              <c:showSerName val="0"/>
              <c:showPercent val="0"/>
              <c:showBubbleSize val="0"/>
            </c:dLbl>
            <c:dLbl>
              <c:idx val="5"/>
              <c:layout>
                <c:manualLayout>
                  <c:x val="-3.3252507629639515E-2"/>
                  <c:y val="0.10648148148148151"/>
                </c:manualLayout>
              </c:layout>
              <c:showLegendKey val="0"/>
              <c:showVal val="1"/>
              <c:showCatName val="0"/>
              <c:showSerName val="0"/>
              <c:showPercent val="0"/>
              <c:showBubbleSize val="0"/>
            </c:dLbl>
            <c:dLbl>
              <c:idx val="6"/>
              <c:layout>
                <c:manualLayout>
                  <c:x val="-4.7107937334296593E-2"/>
                  <c:y val="0.10648148148148151"/>
                </c:manualLayout>
              </c:layout>
              <c:showLegendKey val="0"/>
              <c:showVal val="1"/>
              <c:showCatName val="0"/>
              <c:showSerName val="0"/>
              <c:showPercent val="0"/>
              <c:showBubbleSize val="0"/>
            </c:dLbl>
            <c:dLbl>
              <c:idx val="7"/>
              <c:layout>
                <c:manualLayout>
                  <c:x val="-4.7107719141989197E-2"/>
                  <c:y val="0.10648148148148151"/>
                </c:manualLayout>
              </c:layout>
              <c:showLegendKey val="0"/>
              <c:showVal val="1"/>
              <c:showCatName val="0"/>
              <c:showSerName val="0"/>
              <c:showPercent val="0"/>
              <c:showBubbleSize val="0"/>
            </c:dLbl>
            <c:dLbl>
              <c:idx val="8"/>
              <c:layout>
                <c:manualLayout>
                  <c:x val="-3.3252507629639515E-2"/>
                  <c:y val="0.10648148148148151"/>
                </c:manualLayout>
              </c:layout>
              <c:showLegendKey val="0"/>
              <c:showVal val="1"/>
              <c:showCatName val="0"/>
              <c:showSerName val="0"/>
              <c:showPercent val="0"/>
              <c:showBubbleSize val="0"/>
            </c:dLbl>
            <c:txPr>
              <a:bodyPr/>
              <a:lstStyle/>
              <a:p>
                <a:pPr>
                  <a:defRPr>
                    <a:solidFill>
                      <a:schemeClr val="accent4">
                        <a:lumMod val="75000"/>
                      </a:schemeClr>
                    </a:solidFill>
                  </a:defRPr>
                </a:pPr>
                <a:endParaRPr lang="ru-RU"/>
              </a:p>
            </c:txPr>
            <c:showLegendKey val="0"/>
            <c:showVal val="1"/>
            <c:showCatName val="0"/>
            <c:showSerName val="0"/>
            <c:showPercent val="0"/>
            <c:showBubbleSize val="0"/>
            <c:showLeaderLines val="0"/>
          </c:dLbls>
          <c:cat>
            <c:numRef>
              <c:f>Свечи!$A$3:$A$11</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Свечи!$D$3:$D$11</c:f>
              <c:numCache>
                <c:formatCode>General</c:formatCode>
                <c:ptCount val="9"/>
                <c:pt idx="0">
                  <c:v>0.223</c:v>
                </c:pt>
                <c:pt idx="1">
                  <c:v>0.214</c:v>
                </c:pt>
                <c:pt idx="2">
                  <c:v>0.248</c:v>
                </c:pt>
                <c:pt idx="3">
                  <c:v>0.16800000000000001</c:v>
                </c:pt>
                <c:pt idx="4">
                  <c:v>0.218</c:v>
                </c:pt>
                <c:pt idx="5">
                  <c:v>0.22</c:v>
                </c:pt>
                <c:pt idx="6">
                  <c:v>0.216</c:v>
                </c:pt>
                <c:pt idx="7">
                  <c:v>0.217</c:v>
                </c:pt>
                <c:pt idx="8">
                  <c:v>0.215</c:v>
                </c:pt>
              </c:numCache>
            </c:numRef>
          </c:val>
          <c:smooth val="0"/>
        </c:ser>
        <c:ser>
          <c:idx val="3"/>
          <c:order val="3"/>
          <c:spPr>
            <a:ln w="28575">
              <a:noFill/>
            </a:ln>
          </c:spPr>
          <c:marker>
            <c:symbol val="none"/>
          </c:marker>
          <c:dLbls>
            <c:txPr>
              <a:bodyPr/>
              <a:lstStyle/>
              <a:p>
                <a:pPr>
                  <a:defRPr b="1"/>
                </a:pPr>
                <a:endParaRPr lang="ru-RU"/>
              </a:p>
            </c:txPr>
            <c:showLegendKey val="0"/>
            <c:showVal val="1"/>
            <c:showCatName val="0"/>
            <c:showSerName val="0"/>
            <c:showPercent val="0"/>
            <c:showBubbleSize val="0"/>
            <c:showLeaderLines val="0"/>
          </c:dLbls>
          <c:cat>
            <c:numRef>
              <c:f>Свечи!$A$3:$A$11</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Свечи!$E$3:$E$11</c:f>
              <c:numCache>
                <c:formatCode>0.00</c:formatCode>
                <c:ptCount val="9"/>
                <c:pt idx="0">
                  <c:v>0.71342857142857163</c:v>
                </c:pt>
                <c:pt idx="1">
                  <c:v>1.1785428571428573</c:v>
                </c:pt>
                <c:pt idx="2">
                  <c:v>1.4677428571428581</c:v>
                </c:pt>
                <c:pt idx="3">
                  <c:v>0.74654285714285729</c:v>
                </c:pt>
                <c:pt idx="4">
                  <c:v>1.1016857142857148</c:v>
                </c:pt>
                <c:pt idx="5">
                  <c:v>0.66411428571428555</c:v>
                </c:pt>
                <c:pt idx="6">
                  <c:v>0.62385714285714278</c:v>
                </c:pt>
                <c:pt idx="7">
                  <c:v>1.492485714285714</c:v>
                </c:pt>
                <c:pt idx="8">
                  <c:v>0.6604285714285717</c:v>
                </c:pt>
              </c:numCache>
            </c:numRef>
          </c:val>
          <c:smooth val="0"/>
        </c:ser>
        <c:dLbls>
          <c:showLegendKey val="0"/>
          <c:showVal val="0"/>
          <c:showCatName val="0"/>
          <c:showSerName val="0"/>
          <c:showPercent val="0"/>
          <c:showBubbleSize val="0"/>
        </c:dLbls>
        <c:hiLowLines/>
        <c:upDownBars>
          <c:gapWidth val="150"/>
          <c:upBars/>
          <c:downBars/>
        </c:upDownBars>
        <c:axId val="31693440"/>
        <c:axId val="32455296"/>
      </c:stockChart>
      <c:catAx>
        <c:axId val="31693440"/>
        <c:scaling>
          <c:orientation val="minMax"/>
        </c:scaling>
        <c:delete val="0"/>
        <c:axPos val="b"/>
        <c:numFmt formatCode="General" sourceLinked="1"/>
        <c:majorTickMark val="out"/>
        <c:minorTickMark val="none"/>
        <c:tickLblPos val="nextTo"/>
        <c:txPr>
          <a:bodyPr rot="-2700000" vert="horz"/>
          <a:lstStyle/>
          <a:p>
            <a:pPr>
              <a:defRPr b="0"/>
            </a:pPr>
            <a:endParaRPr lang="ru-RU"/>
          </a:p>
        </c:txPr>
        <c:crossAx val="32455296"/>
        <c:crosses val="autoZero"/>
        <c:auto val="1"/>
        <c:lblAlgn val="ctr"/>
        <c:lblOffset val="100"/>
        <c:noMultiLvlLbl val="0"/>
      </c:catAx>
      <c:valAx>
        <c:axId val="32455296"/>
        <c:scaling>
          <c:orientation val="minMax"/>
        </c:scaling>
        <c:delete val="0"/>
        <c:axPos val="l"/>
        <c:numFmt formatCode="0.00" sourceLinked="1"/>
        <c:majorTickMark val="out"/>
        <c:minorTickMark val="none"/>
        <c:tickLblPos val="nextTo"/>
        <c:crossAx val="31693440"/>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tockChart>
        <c:ser>
          <c:idx val="0"/>
          <c:order val="0"/>
          <c:spPr>
            <a:ln w="28575">
              <a:noFill/>
            </a:ln>
          </c:spPr>
          <c:marker>
            <c:symbol val="none"/>
          </c:marker>
          <c:dLbls>
            <c:txPr>
              <a:bodyPr/>
              <a:lstStyle/>
              <a:p>
                <a:pPr>
                  <a:defRPr b="1"/>
                </a:pPr>
                <a:endParaRPr lang="ru-RU"/>
              </a:p>
            </c:txPr>
            <c:showLegendKey val="0"/>
            <c:showVal val="1"/>
            <c:showCatName val="0"/>
            <c:showSerName val="0"/>
            <c:showPercent val="0"/>
            <c:showBubbleSize val="0"/>
            <c:showLeaderLines val="0"/>
          </c:dLbls>
          <c:cat>
            <c:numRef>
              <c:f>Свечи!$A$3:$A$11</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Свечи!$B$3:$B$11</c:f>
              <c:numCache>
                <c:formatCode>0.00</c:formatCode>
                <c:ptCount val="9"/>
                <c:pt idx="0">
                  <c:v>0.40731428571428591</c:v>
                </c:pt>
                <c:pt idx="1">
                  <c:v>0.39637142857142876</c:v>
                </c:pt>
                <c:pt idx="2">
                  <c:v>0.278342857142857</c:v>
                </c:pt>
                <c:pt idx="3">
                  <c:v>0.45934285714285689</c:v>
                </c:pt>
                <c:pt idx="4">
                  <c:v>0.3985428571428572</c:v>
                </c:pt>
                <c:pt idx="5">
                  <c:v>0.46337142857142838</c:v>
                </c:pt>
                <c:pt idx="6">
                  <c:v>0.43125714285714267</c:v>
                </c:pt>
                <c:pt idx="7">
                  <c:v>0.29928571428571427</c:v>
                </c:pt>
                <c:pt idx="8">
                  <c:v>0.53648571428571412</c:v>
                </c:pt>
              </c:numCache>
            </c:numRef>
          </c:val>
          <c:smooth val="0"/>
        </c:ser>
        <c:ser>
          <c:idx val="1"/>
          <c:order val="1"/>
          <c:spPr>
            <a:ln w="28575">
              <a:noFill/>
            </a:ln>
          </c:spPr>
          <c:marker>
            <c:symbol val="none"/>
          </c:marker>
          <c:dLbls>
            <c:dLbl>
              <c:idx val="0"/>
              <c:layout>
                <c:manualLayout>
                  <c:x val="-5.5555555555555559E-2"/>
                  <c:y val="-3.7037037037037035E-2"/>
                </c:manualLayout>
              </c:layout>
              <c:showLegendKey val="0"/>
              <c:showVal val="1"/>
              <c:showCatName val="0"/>
              <c:showSerName val="0"/>
              <c:showPercent val="0"/>
              <c:showBubbleSize val="0"/>
            </c:dLbl>
            <c:dLbl>
              <c:idx val="1"/>
              <c:layout>
                <c:manualLayout>
                  <c:x val="-5.2777777777777785E-2"/>
                  <c:y val="-3.7037037037037056E-2"/>
                </c:manualLayout>
              </c:layout>
              <c:showLegendKey val="0"/>
              <c:showVal val="1"/>
              <c:showCatName val="0"/>
              <c:showSerName val="0"/>
              <c:showPercent val="0"/>
              <c:showBubbleSize val="0"/>
            </c:dLbl>
            <c:dLbl>
              <c:idx val="2"/>
              <c:layout>
                <c:manualLayout>
                  <c:x val="-4.444444444444446E-2"/>
                  <c:y val="-4.166666666666665E-2"/>
                </c:manualLayout>
              </c:layout>
              <c:showLegendKey val="0"/>
              <c:showVal val="1"/>
              <c:showCatName val="0"/>
              <c:showSerName val="0"/>
              <c:showPercent val="0"/>
              <c:showBubbleSize val="0"/>
            </c:dLbl>
            <c:dLbl>
              <c:idx val="3"/>
              <c:layout>
                <c:manualLayout>
                  <c:x val="-4.7222222222222228E-2"/>
                  <c:y val="-4.1666666666666664E-2"/>
                </c:manualLayout>
              </c:layout>
              <c:showLegendKey val="0"/>
              <c:showVal val="1"/>
              <c:showCatName val="0"/>
              <c:showSerName val="0"/>
              <c:showPercent val="0"/>
              <c:showBubbleSize val="0"/>
            </c:dLbl>
            <c:dLbl>
              <c:idx val="4"/>
              <c:layout>
                <c:manualLayout>
                  <c:x val="-5.2777777777777785E-2"/>
                  <c:y val="-3.7037037037037042E-2"/>
                </c:manualLayout>
              </c:layout>
              <c:showLegendKey val="0"/>
              <c:showVal val="1"/>
              <c:showCatName val="0"/>
              <c:showSerName val="0"/>
              <c:showPercent val="0"/>
              <c:showBubbleSize val="0"/>
            </c:dLbl>
            <c:dLbl>
              <c:idx val="5"/>
              <c:layout>
                <c:manualLayout>
                  <c:x val="-5.2777777777777785E-2"/>
                  <c:y val="-3.7037037037037042E-2"/>
                </c:manualLayout>
              </c:layout>
              <c:showLegendKey val="0"/>
              <c:showVal val="1"/>
              <c:showCatName val="0"/>
              <c:showSerName val="0"/>
              <c:showPercent val="0"/>
              <c:showBubbleSize val="0"/>
            </c:dLbl>
            <c:dLbl>
              <c:idx val="6"/>
              <c:layout>
                <c:manualLayout>
                  <c:x val="-5.8333333333333348E-2"/>
                  <c:y val="-3.7037037037037042E-2"/>
                </c:manualLayout>
              </c:layout>
              <c:showLegendKey val="0"/>
              <c:showVal val="1"/>
              <c:showCatName val="0"/>
              <c:showSerName val="0"/>
              <c:showPercent val="0"/>
              <c:showBubbleSize val="0"/>
            </c:dLbl>
            <c:dLbl>
              <c:idx val="7"/>
              <c:layout>
                <c:manualLayout>
                  <c:x val="-3.8888888888888994E-2"/>
                  <c:y val="-3.7037037037037042E-2"/>
                </c:manualLayout>
              </c:layout>
              <c:showLegendKey val="0"/>
              <c:showVal val="1"/>
              <c:showCatName val="0"/>
              <c:showSerName val="0"/>
              <c:showPercent val="0"/>
              <c:showBubbleSize val="0"/>
            </c:dLbl>
            <c:dLbl>
              <c:idx val="8"/>
              <c:layout>
                <c:manualLayout>
                  <c:x val="-3.333333333333334E-2"/>
                  <c:y val="-3.7037037037037042E-2"/>
                </c:manualLayout>
              </c:layout>
              <c:showLegendKey val="0"/>
              <c:showVal val="1"/>
              <c:showCatName val="0"/>
              <c:showSerName val="0"/>
              <c:showPercent val="0"/>
              <c:showBubbleSize val="0"/>
            </c:dLbl>
            <c:txPr>
              <a:bodyPr/>
              <a:lstStyle/>
              <a:p>
                <a:pPr>
                  <a:defRPr>
                    <a:solidFill>
                      <a:schemeClr val="accent4">
                        <a:lumMod val="75000"/>
                      </a:schemeClr>
                    </a:solidFill>
                  </a:defRPr>
                </a:pPr>
                <a:endParaRPr lang="ru-RU"/>
              </a:p>
            </c:txPr>
            <c:showLegendKey val="0"/>
            <c:showVal val="1"/>
            <c:showCatName val="0"/>
            <c:showSerName val="0"/>
            <c:showPercent val="0"/>
            <c:showBubbleSize val="0"/>
            <c:showLeaderLines val="0"/>
          </c:dLbls>
          <c:cat>
            <c:numRef>
              <c:f>Свечи!$A$3:$A$11</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Свечи!$C$3:$C$11</c:f>
              <c:numCache>
                <c:formatCode>General</c:formatCode>
                <c:ptCount val="9"/>
                <c:pt idx="0">
                  <c:v>1.7230000000000001</c:v>
                </c:pt>
                <c:pt idx="1">
                  <c:v>1.5349999999999999</c:v>
                </c:pt>
                <c:pt idx="2">
                  <c:v>1.56</c:v>
                </c:pt>
                <c:pt idx="3">
                  <c:v>1.72</c:v>
                </c:pt>
                <c:pt idx="4">
                  <c:v>1.556</c:v>
                </c:pt>
                <c:pt idx="5">
                  <c:v>1.5920000000000001</c:v>
                </c:pt>
                <c:pt idx="6">
                  <c:v>1.768</c:v>
                </c:pt>
                <c:pt idx="7">
                  <c:v>1.7</c:v>
                </c:pt>
                <c:pt idx="8">
                  <c:v>1.639</c:v>
                </c:pt>
              </c:numCache>
            </c:numRef>
          </c:val>
          <c:smooth val="0"/>
        </c:ser>
        <c:ser>
          <c:idx val="2"/>
          <c:order val="2"/>
          <c:spPr>
            <a:ln w="28575">
              <a:noFill/>
            </a:ln>
          </c:spPr>
          <c:marker>
            <c:symbol val="none"/>
          </c:marker>
          <c:dLbls>
            <c:dLbl>
              <c:idx val="0"/>
              <c:layout>
                <c:manualLayout>
                  <c:x val="-4.4444663167104104E-2"/>
                  <c:y val="0.10648148148148151"/>
                </c:manualLayout>
              </c:layout>
              <c:showLegendKey val="0"/>
              <c:showVal val="1"/>
              <c:showCatName val="0"/>
              <c:showSerName val="0"/>
              <c:showPercent val="0"/>
              <c:showBubbleSize val="0"/>
            </c:dLbl>
            <c:dLbl>
              <c:idx val="1"/>
              <c:layout>
                <c:manualLayout>
                  <c:x val="-4.9878761444459269E-2"/>
                  <c:y val="0.10185185185185186"/>
                </c:manualLayout>
              </c:layout>
              <c:showLegendKey val="0"/>
              <c:showVal val="1"/>
              <c:showCatName val="0"/>
              <c:showSerName val="0"/>
              <c:showPercent val="0"/>
              <c:showBubbleSize val="0"/>
            </c:dLbl>
            <c:dLbl>
              <c:idx val="2"/>
              <c:layout>
                <c:manualLayout>
                  <c:x val="-4.4336676839519369E-2"/>
                  <c:y val="0.11574074074074076"/>
                </c:manualLayout>
              </c:layout>
              <c:showLegendKey val="0"/>
              <c:showVal val="1"/>
              <c:showCatName val="0"/>
              <c:showSerName val="0"/>
              <c:showPercent val="0"/>
              <c:showBubbleSize val="0"/>
            </c:dLbl>
            <c:dLbl>
              <c:idx val="3"/>
              <c:layout>
                <c:manualLayout>
                  <c:x val="-4.4336676839519369E-2"/>
                  <c:y val="8.7962962962962993E-2"/>
                </c:manualLayout>
              </c:layout>
              <c:showLegendKey val="0"/>
              <c:showVal val="1"/>
              <c:showCatName val="0"/>
              <c:showSerName val="0"/>
              <c:showPercent val="0"/>
              <c:showBubbleSize val="0"/>
            </c:dLbl>
            <c:dLbl>
              <c:idx val="4"/>
              <c:layout>
                <c:manualLayout>
                  <c:x val="-4.4336676839519369E-2"/>
                  <c:y val="0.10648148148148151"/>
                </c:manualLayout>
              </c:layout>
              <c:showLegendKey val="0"/>
              <c:showVal val="1"/>
              <c:showCatName val="0"/>
              <c:showSerName val="0"/>
              <c:showPercent val="0"/>
              <c:showBubbleSize val="0"/>
            </c:dLbl>
            <c:dLbl>
              <c:idx val="5"/>
              <c:layout>
                <c:manualLayout>
                  <c:x val="-3.3252507629639515E-2"/>
                  <c:y val="0.10648148148148151"/>
                </c:manualLayout>
              </c:layout>
              <c:showLegendKey val="0"/>
              <c:showVal val="1"/>
              <c:showCatName val="0"/>
              <c:showSerName val="0"/>
              <c:showPercent val="0"/>
              <c:showBubbleSize val="0"/>
            </c:dLbl>
            <c:dLbl>
              <c:idx val="6"/>
              <c:layout>
                <c:manualLayout>
                  <c:x val="-4.7107937334296593E-2"/>
                  <c:y val="0.10648148148148151"/>
                </c:manualLayout>
              </c:layout>
              <c:showLegendKey val="0"/>
              <c:showVal val="1"/>
              <c:showCatName val="0"/>
              <c:showSerName val="0"/>
              <c:showPercent val="0"/>
              <c:showBubbleSize val="0"/>
            </c:dLbl>
            <c:dLbl>
              <c:idx val="7"/>
              <c:layout>
                <c:manualLayout>
                  <c:x val="-4.7107719141989197E-2"/>
                  <c:y val="0.10648148148148151"/>
                </c:manualLayout>
              </c:layout>
              <c:showLegendKey val="0"/>
              <c:showVal val="1"/>
              <c:showCatName val="0"/>
              <c:showSerName val="0"/>
              <c:showPercent val="0"/>
              <c:showBubbleSize val="0"/>
            </c:dLbl>
            <c:dLbl>
              <c:idx val="8"/>
              <c:layout>
                <c:manualLayout>
                  <c:x val="-3.3252507629639515E-2"/>
                  <c:y val="0.10648148148148151"/>
                </c:manualLayout>
              </c:layout>
              <c:showLegendKey val="0"/>
              <c:showVal val="1"/>
              <c:showCatName val="0"/>
              <c:showSerName val="0"/>
              <c:showPercent val="0"/>
              <c:showBubbleSize val="0"/>
            </c:dLbl>
            <c:txPr>
              <a:bodyPr/>
              <a:lstStyle/>
              <a:p>
                <a:pPr>
                  <a:defRPr>
                    <a:solidFill>
                      <a:schemeClr val="accent4">
                        <a:lumMod val="75000"/>
                      </a:schemeClr>
                    </a:solidFill>
                  </a:defRPr>
                </a:pPr>
                <a:endParaRPr lang="ru-RU"/>
              </a:p>
            </c:txPr>
            <c:showLegendKey val="0"/>
            <c:showVal val="1"/>
            <c:showCatName val="0"/>
            <c:showSerName val="0"/>
            <c:showPercent val="0"/>
            <c:showBubbleSize val="0"/>
            <c:showLeaderLines val="0"/>
          </c:dLbls>
          <c:cat>
            <c:numRef>
              <c:f>Свечи!$A$3:$A$11</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Свечи!$D$3:$D$11</c:f>
              <c:numCache>
                <c:formatCode>General</c:formatCode>
                <c:ptCount val="9"/>
                <c:pt idx="0">
                  <c:v>0.223</c:v>
                </c:pt>
                <c:pt idx="1">
                  <c:v>0.214</c:v>
                </c:pt>
                <c:pt idx="2">
                  <c:v>0.248</c:v>
                </c:pt>
                <c:pt idx="3">
                  <c:v>0.16800000000000001</c:v>
                </c:pt>
                <c:pt idx="4">
                  <c:v>0.218</c:v>
                </c:pt>
                <c:pt idx="5">
                  <c:v>0.22</c:v>
                </c:pt>
                <c:pt idx="6">
                  <c:v>0.216</c:v>
                </c:pt>
                <c:pt idx="7">
                  <c:v>0.217</c:v>
                </c:pt>
                <c:pt idx="8">
                  <c:v>0.215</c:v>
                </c:pt>
              </c:numCache>
            </c:numRef>
          </c:val>
          <c:smooth val="0"/>
        </c:ser>
        <c:ser>
          <c:idx val="3"/>
          <c:order val="3"/>
          <c:spPr>
            <a:ln w="28575">
              <a:noFill/>
            </a:ln>
          </c:spPr>
          <c:marker>
            <c:symbol val="none"/>
          </c:marker>
          <c:dLbls>
            <c:txPr>
              <a:bodyPr/>
              <a:lstStyle/>
              <a:p>
                <a:pPr>
                  <a:defRPr b="1"/>
                </a:pPr>
                <a:endParaRPr lang="ru-RU"/>
              </a:p>
            </c:txPr>
            <c:showLegendKey val="0"/>
            <c:showVal val="1"/>
            <c:showCatName val="0"/>
            <c:showSerName val="0"/>
            <c:showPercent val="0"/>
            <c:showBubbleSize val="0"/>
            <c:showLeaderLines val="0"/>
          </c:dLbls>
          <c:cat>
            <c:numRef>
              <c:f>Свечи!$A$3:$A$11</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Свечи!$E$3:$E$11</c:f>
              <c:numCache>
                <c:formatCode>0.00</c:formatCode>
                <c:ptCount val="9"/>
                <c:pt idx="0">
                  <c:v>0.71342857142857163</c:v>
                </c:pt>
                <c:pt idx="1">
                  <c:v>1.1785428571428573</c:v>
                </c:pt>
                <c:pt idx="2">
                  <c:v>1.4677428571428581</c:v>
                </c:pt>
                <c:pt idx="3">
                  <c:v>0.74654285714285729</c:v>
                </c:pt>
                <c:pt idx="4">
                  <c:v>1.1016857142857148</c:v>
                </c:pt>
                <c:pt idx="5">
                  <c:v>0.66411428571428555</c:v>
                </c:pt>
                <c:pt idx="6">
                  <c:v>0.62385714285714278</c:v>
                </c:pt>
                <c:pt idx="7">
                  <c:v>1.492485714285714</c:v>
                </c:pt>
                <c:pt idx="8">
                  <c:v>0.6604285714285717</c:v>
                </c:pt>
              </c:numCache>
            </c:numRef>
          </c:val>
          <c:smooth val="0"/>
        </c:ser>
        <c:dLbls>
          <c:showLegendKey val="0"/>
          <c:showVal val="0"/>
          <c:showCatName val="0"/>
          <c:showSerName val="0"/>
          <c:showPercent val="0"/>
          <c:showBubbleSize val="0"/>
        </c:dLbls>
        <c:hiLowLines/>
        <c:upDownBars>
          <c:gapWidth val="150"/>
          <c:upBars/>
          <c:downBars/>
        </c:upDownBars>
        <c:axId val="70337664"/>
        <c:axId val="70339200"/>
      </c:stockChart>
      <c:catAx>
        <c:axId val="70337664"/>
        <c:scaling>
          <c:orientation val="minMax"/>
        </c:scaling>
        <c:delete val="0"/>
        <c:axPos val="b"/>
        <c:numFmt formatCode="General" sourceLinked="1"/>
        <c:majorTickMark val="out"/>
        <c:minorTickMark val="none"/>
        <c:tickLblPos val="nextTo"/>
        <c:txPr>
          <a:bodyPr rot="-2700000" vert="horz"/>
          <a:lstStyle/>
          <a:p>
            <a:pPr>
              <a:defRPr b="0"/>
            </a:pPr>
            <a:endParaRPr lang="ru-RU"/>
          </a:p>
        </c:txPr>
        <c:crossAx val="70339200"/>
        <c:crosses val="autoZero"/>
        <c:auto val="1"/>
        <c:lblAlgn val="ctr"/>
        <c:lblOffset val="100"/>
        <c:noMultiLvlLbl val="0"/>
      </c:catAx>
      <c:valAx>
        <c:axId val="70339200"/>
        <c:scaling>
          <c:orientation val="minMax"/>
        </c:scaling>
        <c:delete val="0"/>
        <c:axPos val="l"/>
        <c:numFmt formatCode="0.00" sourceLinked="1"/>
        <c:majorTickMark val="out"/>
        <c:minorTickMark val="none"/>
        <c:tickLblPos val="nextTo"/>
        <c:crossAx val="7033766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F90F3-8F5E-4DE9-8787-F90610E06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82</Pages>
  <Words>15464</Words>
  <Characters>88147</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Кристина</cp:lastModifiedBy>
  <cp:revision>90</cp:revision>
  <dcterms:created xsi:type="dcterms:W3CDTF">2013-05-13T11:39:00Z</dcterms:created>
  <dcterms:modified xsi:type="dcterms:W3CDTF">2013-05-13T16:41:00Z</dcterms:modified>
</cp:coreProperties>
</file>